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szCs w:val="36"/>
        </w:rPr>
      </w:pPr>
      <w:bookmarkStart w:id="0" w:name="_GoBack"/>
      <w:bookmarkEnd w:id="0"/>
      <w:r>
        <w:rPr>
          <w:rFonts w:eastAsia="黑体"/>
          <w:b/>
          <w:sz w:val="36"/>
          <w:szCs w:val="36"/>
        </w:rPr>
        <w:t>黄土丘陵区坡沟水沙调控与高效利用关键技术研究</w:t>
      </w:r>
    </w:p>
    <w:p>
      <w:pPr>
        <w:spacing w:line="360" w:lineRule="auto"/>
        <w:jc w:val="center"/>
        <w:rPr>
          <w:rFonts w:eastAsia="黑体"/>
          <w:b/>
          <w:sz w:val="36"/>
          <w:szCs w:val="36"/>
        </w:rPr>
      </w:pPr>
      <w:r>
        <w:rPr>
          <w:rFonts w:eastAsia="黑体"/>
          <w:b/>
          <w:sz w:val="36"/>
          <w:szCs w:val="36"/>
        </w:rPr>
        <w:t>项目公示</w:t>
      </w:r>
      <w:r>
        <w:rPr>
          <w:rFonts w:hint="eastAsia" w:eastAsia="黑体"/>
          <w:b/>
          <w:sz w:val="36"/>
          <w:szCs w:val="36"/>
        </w:rPr>
        <w:t>信息</w:t>
      </w:r>
    </w:p>
    <w:p>
      <w:pPr>
        <w:adjustRightInd w:val="0"/>
        <w:snapToGrid w:val="0"/>
        <w:spacing w:before="312" w:beforeLines="100" w:line="360" w:lineRule="auto"/>
        <w:rPr>
          <w:rFonts w:eastAsia="黑体"/>
          <w:b/>
          <w:sz w:val="24"/>
          <w:szCs w:val="24"/>
        </w:rPr>
      </w:pPr>
      <w:r>
        <w:rPr>
          <w:rFonts w:eastAsia="黑体"/>
          <w:b/>
          <w:sz w:val="24"/>
          <w:szCs w:val="24"/>
        </w:rPr>
        <w:t>一、项目名称：</w:t>
      </w:r>
    </w:p>
    <w:p>
      <w:pPr>
        <w:adjustRightInd w:val="0"/>
        <w:snapToGrid w:val="0"/>
        <w:spacing w:line="360" w:lineRule="auto"/>
        <w:ind w:firstLine="480" w:firstLineChars="200"/>
        <w:rPr>
          <w:bCs/>
          <w:sz w:val="24"/>
          <w:szCs w:val="24"/>
        </w:rPr>
      </w:pPr>
      <w:r>
        <w:rPr>
          <w:bCs/>
          <w:sz w:val="24"/>
          <w:szCs w:val="24"/>
        </w:rPr>
        <w:t>黄土丘陵区坡沟水沙调控与高效利用关键技术研究</w:t>
      </w:r>
    </w:p>
    <w:p>
      <w:pPr>
        <w:adjustRightInd w:val="0"/>
        <w:snapToGrid w:val="0"/>
        <w:spacing w:line="360" w:lineRule="auto"/>
        <w:rPr>
          <w:rFonts w:eastAsia="黑体"/>
          <w:b/>
          <w:sz w:val="24"/>
          <w:szCs w:val="24"/>
        </w:rPr>
      </w:pPr>
      <w:r>
        <w:rPr>
          <w:rFonts w:eastAsia="黑体"/>
          <w:b/>
          <w:sz w:val="24"/>
          <w:szCs w:val="24"/>
        </w:rPr>
        <w:t>二、提名者及提名意见:</w:t>
      </w:r>
    </w:p>
    <w:p>
      <w:pPr>
        <w:adjustRightInd w:val="0"/>
        <w:snapToGrid w:val="0"/>
        <w:spacing w:line="360" w:lineRule="auto"/>
        <w:ind w:firstLine="480" w:firstLineChars="200"/>
        <w:rPr>
          <w:bCs/>
          <w:sz w:val="24"/>
          <w:szCs w:val="24"/>
        </w:rPr>
      </w:pPr>
      <w:r>
        <w:rPr>
          <w:bCs/>
          <w:sz w:val="24"/>
          <w:szCs w:val="24"/>
        </w:rPr>
        <w:t>1、提名</w:t>
      </w:r>
      <w:r>
        <w:rPr>
          <w:rFonts w:hint="eastAsia"/>
          <w:bCs/>
          <w:sz w:val="24"/>
          <w:szCs w:val="24"/>
        </w:rPr>
        <w:t>单位</w:t>
      </w:r>
      <w:r>
        <w:rPr>
          <w:bCs/>
          <w:sz w:val="24"/>
          <w:szCs w:val="24"/>
        </w:rPr>
        <w:t>：</w:t>
      </w:r>
    </w:p>
    <w:p>
      <w:pPr>
        <w:adjustRightInd w:val="0"/>
        <w:snapToGrid w:val="0"/>
        <w:spacing w:line="360" w:lineRule="auto"/>
        <w:ind w:firstLine="480" w:firstLineChars="200"/>
        <w:rPr>
          <w:bCs/>
          <w:sz w:val="24"/>
          <w:szCs w:val="24"/>
        </w:rPr>
      </w:pPr>
      <w:r>
        <w:rPr>
          <w:bCs/>
          <w:sz w:val="24"/>
          <w:szCs w:val="24"/>
        </w:rPr>
        <w:t>杨凌农业高新技术产业示范区</w:t>
      </w:r>
    </w:p>
    <w:p>
      <w:pPr>
        <w:adjustRightInd w:val="0"/>
        <w:snapToGrid w:val="0"/>
        <w:spacing w:line="360" w:lineRule="auto"/>
        <w:ind w:firstLine="480" w:firstLineChars="200"/>
        <w:rPr>
          <w:bCs/>
          <w:sz w:val="24"/>
          <w:szCs w:val="24"/>
        </w:rPr>
      </w:pPr>
      <w:r>
        <w:rPr>
          <w:bCs/>
          <w:sz w:val="24"/>
          <w:szCs w:val="24"/>
        </w:rPr>
        <w:t>2、提名</w:t>
      </w:r>
      <w:r>
        <w:rPr>
          <w:rFonts w:hint="eastAsia"/>
          <w:bCs/>
          <w:sz w:val="24"/>
          <w:szCs w:val="24"/>
        </w:rPr>
        <w:t>者</w:t>
      </w:r>
      <w:r>
        <w:rPr>
          <w:bCs/>
          <w:sz w:val="24"/>
          <w:szCs w:val="24"/>
        </w:rPr>
        <w:t>意见：</w:t>
      </w:r>
    </w:p>
    <w:p>
      <w:pPr>
        <w:adjustRightInd w:val="0"/>
        <w:snapToGrid w:val="0"/>
        <w:spacing w:line="360" w:lineRule="auto"/>
        <w:ind w:firstLine="480" w:firstLineChars="200"/>
        <w:rPr>
          <w:bCs/>
          <w:sz w:val="24"/>
          <w:szCs w:val="24"/>
        </w:rPr>
      </w:pPr>
      <w:r>
        <w:rPr>
          <w:bCs/>
          <w:sz w:val="24"/>
          <w:szCs w:val="24"/>
        </w:rPr>
        <w:t>该项目成果系在国家科技相关计划支持下，针对区域干旱与水土流失并存，土地资源短缺、生产力低下</w:t>
      </w:r>
      <w:r>
        <w:rPr>
          <w:rFonts w:hint="eastAsia"/>
          <w:bCs/>
          <w:sz w:val="24"/>
          <w:szCs w:val="24"/>
        </w:rPr>
        <w:t>、</w:t>
      </w:r>
      <w:r>
        <w:rPr>
          <w:bCs/>
          <w:sz w:val="24"/>
          <w:szCs w:val="24"/>
        </w:rPr>
        <w:t>威胁“粮食安全”等问题，在项目主要</w:t>
      </w:r>
      <w:r>
        <w:rPr>
          <w:rFonts w:hint="eastAsia"/>
          <w:bCs/>
          <w:sz w:val="24"/>
          <w:szCs w:val="24"/>
        </w:rPr>
        <w:t>参与</w:t>
      </w:r>
      <w:r>
        <w:rPr>
          <w:bCs/>
          <w:sz w:val="24"/>
          <w:szCs w:val="24"/>
        </w:rPr>
        <w:t>人员多年研发的水沙调控新材料、新软件、新装置的基础上，创新集成</w:t>
      </w:r>
      <w:r>
        <w:rPr>
          <w:rFonts w:hint="eastAsia"/>
          <w:bCs/>
          <w:sz w:val="24"/>
          <w:szCs w:val="24"/>
        </w:rPr>
        <w:t>了</w:t>
      </w:r>
      <w:r>
        <w:rPr>
          <w:bCs/>
          <w:sz w:val="24"/>
          <w:szCs w:val="24"/>
        </w:rPr>
        <w:t>黄土高原水土流失治理和农业高效生产方面的坡沟降雨径流汇集、水沙阻控、沉砂滤清、蓄水、农业高效用水及管理等</w:t>
      </w:r>
      <w:r>
        <w:rPr>
          <w:rFonts w:hint="eastAsia"/>
          <w:bCs/>
          <w:sz w:val="24"/>
          <w:szCs w:val="24"/>
        </w:rPr>
        <w:t>理论与技术</w:t>
      </w:r>
      <w:r>
        <w:rPr>
          <w:bCs/>
          <w:sz w:val="24"/>
          <w:szCs w:val="24"/>
        </w:rPr>
        <w:t>，构建了黄土丘陵区坡面-沟道水沙调控及高效利用关键技术，</w:t>
      </w:r>
      <w:r>
        <w:rPr>
          <w:rFonts w:hint="eastAsia"/>
          <w:bCs/>
          <w:sz w:val="24"/>
          <w:szCs w:val="24"/>
        </w:rPr>
        <w:t>提出</w:t>
      </w:r>
      <w:r>
        <w:rPr>
          <w:bCs/>
          <w:sz w:val="24"/>
          <w:szCs w:val="24"/>
        </w:rPr>
        <w:t>了水土保持高效农业的技术模式，通过试验示范形成技术标准并进行大面积推广，为发展黄土高原水土保持高效农业，实现</w:t>
      </w:r>
      <w:r>
        <w:rPr>
          <w:rFonts w:hint="eastAsia"/>
          <w:bCs/>
          <w:sz w:val="24"/>
          <w:szCs w:val="24"/>
        </w:rPr>
        <w:t>“</w:t>
      </w:r>
      <w:r>
        <w:rPr>
          <w:bCs/>
          <w:sz w:val="24"/>
          <w:szCs w:val="24"/>
        </w:rPr>
        <w:t>绿水青山就是金山银山</w:t>
      </w:r>
      <w:r>
        <w:rPr>
          <w:rFonts w:hint="eastAsia"/>
          <w:bCs/>
          <w:sz w:val="24"/>
          <w:szCs w:val="24"/>
        </w:rPr>
        <w:t>”</w:t>
      </w:r>
      <w:r>
        <w:rPr>
          <w:bCs/>
          <w:sz w:val="24"/>
          <w:szCs w:val="24"/>
        </w:rPr>
        <w:t>及保障区域粮食安全提出新方法、新理念、新途径和新标准，取得了巨大的经济、社会及生态效益，有广阔的应用前景。项目实施得到了延安市、杨凌示范区、陕西省、中国科学院的高度关注和亲临指导</w:t>
      </w:r>
      <w:r>
        <w:rPr>
          <w:rFonts w:hint="eastAsia"/>
          <w:bCs/>
          <w:sz w:val="24"/>
          <w:szCs w:val="24"/>
        </w:rPr>
        <w:t>，在</w:t>
      </w:r>
      <w:r>
        <w:rPr>
          <w:bCs/>
          <w:sz w:val="24"/>
          <w:szCs w:val="24"/>
        </w:rPr>
        <w:t>2008年和2022年先后国家两任主要领导、国际著名人士视察核心示范区</w:t>
      </w:r>
      <w:r>
        <w:rPr>
          <w:rFonts w:hint="eastAsia"/>
          <w:bCs/>
          <w:sz w:val="24"/>
          <w:szCs w:val="24"/>
        </w:rPr>
        <w:t>，项目成果产生广泛影响。</w:t>
      </w:r>
      <w:r>
        <w:rPr>
          <w:bCs/>
          <w:sz w:val="24"/>
          <w:szCs w:val="24"/>
        </w:rPr>
        <w:t>鉴于该项目的科学意义、示范效益、应用前景和重要影响，</w:t>
      </w:r>
      <w:r>
        <w:rPr>
          <w:b/>
          <w:sz w:val="24"/>
          <w:szCs w:val="24"/>
        </w:rPr>
        <w:t>推荐该项目申请陕西省2024年度科技进步奖一等奖</w:t>
      </w:r>
      <w:r>
        <w:rPr>
          <w:bCs/>
          <w:sz w:val="24"/>
          <w:szCs w:val="24"/>
        </w:rPr>
        <w:t>。</w:t>
      </w:r>
    </w:p>
    <w:p>
      <w:pPr>
        <w:widowControl/>
        <w:adjustRightInd w:val="0"/>
        <w:snapToGrid w:val="0"/>
        <w:spacing w:line="360" w:lineRule="auto"/>
        <w:jc w:val="left"/>
        <w:rPr>
          <w:rFonts w:eastAsia="黑体"/>
          <w:b/>
          <w:sz w:val="24"/>
          <w:szCs w:val="24"/>
        </w:rPr>
      </w:pPr>
      <w:r>
        <w:rPr>
          <w:rFonts w:eastAsia="黑体"/>
          <w:bCs/>
          <w:color w:val="0D0D0D"/>
          <w:spacing w:val="2"/>
          <w:sz w:val="24"/>
          <w:szCs w:val="24"/>
        </w:rPr>
        <w:t>三、</w:t>
      </w:r>
      <w:r>
        <w:rPr>
          <w:rFonts w:eastAsia="黑体"/>
          <w:b/>
          <w:sz w:val="24"/>
          <w:szCs w:val="24"/>
        </w:rPr>
        <w:t>项目简介：</w:t>
      </w:r>
    </w:p>
    <w:p>
      <w:pPr>
        <w:widowControl/>
        <w:adjustRightInd w:val="0"/>
        <w:snapToGrid w:val="0"/>
        <w:spacing w:line="360" w:lineRule="auto"/>
        <w:ind w:firstLine="480" w:firstLineChars="200"/>
        <w:rPr>
          <w:bCs/>
          <w:sz w:val="24"/>
          <w:szCs w:val="24"/>
        </w:rPr>
      </w:pPr>
      <w:r>
        <w:rPr>
          <w:bCs/>
          <w:sz w:val="24"/>
          <w:szCs w:val="24"/>
        </w:rPr>
        <w:t>主要针对如何解决黄土丘陵区水土流失与干旱并存这一问题，通过长期、系统研究坡沟水沙调控与高效利用，取得了如下成果：</w:t>
      </w:r>
    </w:p>
    <w:p>
      <w:pPr>
        <w:widowControl/>
        <w:adjustRightInd w:val="0"/>
        <w:snapToGrid w:val="0"/>
        <w:spacing w:line="360" w:lineRule="auto"/>
        <w:ind w:firstLine="482" w:firstLineChars="200"/>
        <w:rPr>
          <w:rFonts w:eastAsia="黑体"/>
          <w:b/>
          <w:sz w:val="24"/>
          <w:szCs w:val="24"/>
        </w:rPr>
      </w:pPr>
      <w:r>
        <w:rPr>
          <w:rFonts w:hint="eastAsia" w:ascii="宋体" w:hAnsi="宋体" w:cs="宋体"/>
          <w:b/>
          <w:sz w:val="24"/>
          <w:szCs w:val="24"/>
        </w:rPr>
        <w:t xml:space="preserve">① </w:t>
      </w:r>
      <w:r>
        <w:rPr>
          <w:rFonts w:asciiTheme="minorEastAsia" w:hAnsiTheme="minorEastAsia" w:eastAsiaTheme="minorEastAsia"/>
          <w:b/>
          <w:sz w:val="24"/>
          <w:szCs w:val="24"/>
        </w:rPr>
        <w:t>明确了黄土丘陵区坡面水沙调控的主控因素</w:t>
      </w:r>
    </w:p>
    <w:p>
      <w:pPr>
        <w:widowControl/>
        <w:adjustRightInd w:val="0"/>
        <w:snapToGrid w:val="0"/>
        <w:spacing w:line="360" w:lineRule="auto"/>
        <w:ind w:firstLine="480" w:firstLineChars="200"/>
        <w:rPr>
          <w:bCs/>
          <w:sz w:val="24"/>
          <w:szCs w:val="24"/>
        </w:rPr>
      </w:pPr>
      <w:r>
        <w:rPr>
          <w:bCs/>
          <w:sz w:val="24"/>
          <w:szCs w:val="24"/>
        </w:rPr>
        <w:t>提出坡面降雨径流“双紊动源”模型，创新水沙调控模拟试验方法，提出毫米级暴雨径流的常规与非常规比尺模型，对复杂下垫面不同水沙调控设施的影响因子进行试验研究</w:t>
      </w:r>
      <w:r>
        <w:rPr>
          <w:rFonts w:hint="eastAsia"/>
          <w:bCs/>
          <w:sz w:val="24"/>
          <w:szCs w:val="24"/>
        </w:rPr>
        <w:t>。</w:t>
      </w:r>
      <w:r>
        <w:rPr>
          <w:bCs/>
          <w:sz w:val="24"/>
          <w:szCs w:val="24"/>
        </w:rPr>
        <w:t>结果表明：梯田</w:t>
      </w:r>
      <w:r>
        <w:rPr>
          <w:rFonts w:hint="eastAsia"/>
          <w:bCs/>
          <w:sz w:val="24"/>
          <w:szCs w:val="24"/>
        </w:rPr>
        <w:t>和台地</w:t>
      </w:r>
      <w:r>
        <w:rPr>
          <w:bCs/>
          <w:sz w:val="24"/>
          <w:szCs w:val="24"/>
        </w:rPr>
        <w:t>侵蚀灾害损毁的单宽输沙量与流速的2.5次方成正比，侵蚀模数与汇流量的1.5次方成正比，水沙调控的目标是消减降雨径流的流速和汇流量。</w:t>
      </w:r>
    </w:p>
    <w:p>
      <w:pPr>
        <w:widowControl/>
        <w:adjustRightInd w:val="0"/>
        <w:snapToGrid w:val="0"/>
        <w:spacing w:line="360" w:lineRule="auto"/>
        <w:ind w:firstLine="482" w:firstLineChars="200"/>
        <w:rPr>
          <w:rFonts w:asciiTheme="minorEastAsia" w:hAnsiTheme="minorEastAsia" w:eastAsiaTheme="minorEastAsia"/>
          <w:b/>
          <w:sz w:val="24"/>
          <w:szCs w:val="24"/>
        </w:rPr>
      </w:pPr>
      <w:r>
        <w:rPr>
          <w:rFonts w:hint="eastAsia" w:ascii="宋体" w:hAnsi="宋体" w:cs="宋体"/>
          <w:b/>
          <w:sz w:val="24"/>
          <w:szCs w:val="24"/>
        </w:rPr>
        <w:t xml:space="preserve">② </w:t>
      </w:r>
      <w:r>
        <w:rPr>
          <w:rFonts w:asciiTheme="minorEastAsia" w:hAnsiTheme="minorEastAsia" w:eastAsiaTheme="minorEastAsia"/>
          <w:b/>
          <w:sz w:val="24"/>
          <w:szCs w:val="24"/>
        </w:rPr>
        <w:t>提出坡沟水沙调控与高效利用的优化模型</w:t>
      </w:r>
    </w:p>
    <w:p>
      <w:pPr>
        <w:widowControl/>
        <w:adjustRightInd w:val="0"/>
        <w:snapToGrid w:val="0"/>
        <w:spacing w:line="360" w:lineRule="auto"/>
        <w:ind w:firstLine="480" w:firstLineChars="200"/>
        <w:rPr>
          <w:bCs/>
          <w:sz w:val="24"/>
          <w:szCs w:val="24"/>
        </w:rPr>
      </w:pPr>
      <w:r>
        <w:rPr>
          <w:bCs/>
          <w:sz w:val="24"/>
          <w:szCs w:val="24"/>
        </w:rPr>
        <w:t>探明了植物根、茎、冠等对坡面降雨径流侵蚀的消减动力与阻控作用机制；明确了植物过滤带的滤清机理，提出了过滤带拦沙率和拦沙库容的计算方法；揭示了滤清系统、梯田、蓄水设施及沟道土地整治对流域暴雨侵蚀的影响机制；构建了梯田和沟道台地分段模拟和水土流失风险管控的数学算法模型，开发了梯级台地模拟平台并嵌入2009SWAT488版，能定量表征梯田和沟道整治工程</w:t>
      </w:r>
      <w:r>
        <w:rPr>
          <w:rFonts w:hint="eastAsia"/>
          <w:bCs/>
          <w:sz w:val="24"/>
          <w:szCs w:val="24"/>
        </w:rPr>
        <w:t>“</w:t>
      </w:r>
      <w:r>
        <w:rPr>
          <w:bCs/>
          <w:sz w:val="24"/>
          <w:szCs w:val="24"/>
        </w:rPr>
        <w:t>滞洪补枯</w:t>
      </w:r>
      <w:r>
        <w:rPr>
          <w:rFonts w:hint="eastAsia"/>
          <w:bCs/>
          <w:sz w:val="24"/>
          <w:szCs w:val="24"/>
        </w:rPr>
        <w:t>”</w:t>
      </w:r>
      <w:r>
        <w:rPr>
          <w:bCs/>
          <w:sz w:val="24"/>
          <w:szCs w:val="24"/>
        </w:rPr>
        <w:t>的作用。</w:t>
      </w:r>
    </w:p>
    <w:p>
      <w:pPr>
        <w:widowControl/>
        <w:adjustRightInd w:val="0"/>
        <w:snapToGrid w:val="0"/>
        <w:spacing w:line="360" w:lineRule="auto"/>
        <w:ind w:firstLine="482" w:firstLineChars="200"/>
        <w:rPr>
          <w:rFonts w:eastAsia="黑体"/>
          <w:b/>
          <w:sz w:val="24"/>
          <w:szCs w:val="24"/>
        </w:rPr>
      </w:pPr>
      <w:r>
        <w:rPr>
          <w:rFonts w:hint="eastAsia" w:ascii="宋体" w:hAnsi="宋体" w:cs="宋体"/>
          <w:b/>
          <w:sz w:val="24"/>
          <w:szCs w:val="24"/>
        </w:rPr>
        <w:t xml:space="preserve">③ </w:t>
      </w:r>
      <w:r>
        <w:rPr>
          <w:rFonts w:asciiTheme="minorEastAsia" w:hAnsiTheme="minorEastAsia" w:eastAsiaTheme="minorEastAsia"/>
          <w:b/>
          <w:sz w:val="24"/>
          <w:szCs w:val="24"/>
        </w:rPr>
        <w:t>研发了水沙调控材料与装置</w:t>
      </w:r>
    </w:p>
    <w:p>
      <w:pPr>
        <w:widowControl/>
        <w:adjustRightInd w:val="0"/>
        <w:snapToGrid w:val="0"/>
        <w:spacing w:line="360" w:lineRule="auto"/>
        <w:ind w:firstLine="480" w:firstLineChars="200"/>
        <w:rPr>
          <w:bCs/>
          <w:sz w:val="24"/>
          <w:szCs w:val="24"/>
        </w:rPr>
      </w:pPr>
      <w:r>
        <w:rPr>
          <w:bCs/>
          <w:sz w:val="24"/>
          <w:szCs w:val="24"/>
        </w:rPr>
        <w:t>发明了8种土壤固化剂和橡塑及竹基复合材料，为修建各种水沙调控设施提供了材料基础。以规模化、标准化和运输便利化为原则，通过开发的水窖结构优化设计软件，研制出柔性橡塑水窖、竹塑复合橡塑水窖、固化土水窖等水沙调控存储装置，成本相较传统</w:t>
      </w:r>
      <w:r>
        <w:rPr>
          <w:rFonts w:hint="eastAsia"/>
          <w:bCs/>
          <w:sz w:val="24"/>
          <w:szCs w:val="24"/>
        </w:rPr>
        <w:t>混凝土</w:t>
      </w:r>
      <w:r>
        <w:rPr>
          <w:bCs/>
          <w:sz w:val="24"/>
          <w:szCs w:val="24"/>
        </w:rPr>
        <w:t>降低1/3以上。发明了新型文丘里吸肥设备和雨水智能收集系统，实现了远程数据传输与智能化管理。探明了根、茎、冠和草等对坡地降雨径流侵蚀的消减动力与阻控作用，开发了水沙调控型农业高效用水滤清系统。2013年百年未遇大暴雨条件下，使用该系统的果园没有明显的土壤侵蚀发生。</w:t>
      </w:r>
    </w:p>
    <w:p>
      <w:pPr>
        <w:widowControl/>
        <w:adjustRightInd w:val="0"/>
        <w:snapToGrid w:val="0"/>
        <w:spacing w:line="360" w:lineRule="auto"/>
        <w:ind w:firstLine="482" w:firstLineChars="200"/>
        <w:rPr>
          <w:rFonts w:asciiTheme="minorEastAsia" w:hAnsiTheme="minorEastAsia" w:eastAsiaTheme="minorEastAsia"/>
          <w:b/>
          <w:sz w:val="24"/>
          <w:szCs w:val="24"/>
        </w:rPr>
      </w:pPr>
      <w:r>
        <w:rPr>
          <w:rFonts w:eastAsia="黑体"/>
          <w:b/>
          <w:sz w:val="24"/>
          <w:szCs w:val="24"/>
        </w:rPr>
        <w:fldChar w:fldCharType="begin"/>
      </w:r>
      <w:r>
        <w:rPr>
          <w:rFonts w:eastAsia="黑体"/>
          <w:b/>
          <w:sz w:val="24"/>
          <w:szCs w:val="24"/>
        </w:rPr>
        <w:instrText xml:space="preserve"> </w:instrText>
      </w:r>
      <w:r>
        <w:rPr>
          <w:rFonts w:hint="eastAsia" w:eastAsia="黑体"/>
          <w:b/>
          <w:sz w:val="24"/>
          <w:szCs w:val="24"/>
        </w:rPr>
        <w:instrText xml:space="preserve">eq \o\ac(○,4)</w:instrText>
      </w:r>
      <w:r>
        <w:rPr>
          <w:rFonts w:eastAsia="黑体"/>
          <w:b/>
          <w:sz w:val="24"/>
          <w:szCs w:val="24"/>
        </w:rPr>
        <w:fldChar w:fldCharType="end"/>
      </w:r>
      <w:r>
        <w:rPr>
          <w:rFonts w:eastAsia="黑体"/>
          <w:b/>
          <w:sz w:val="24"/>
          <w:szCs w:val="24"/>
        </w:rPr>
        <w:t xml:space="preserve"> </w:t>
      </w:r>
      <w:r>
        <w:rPr>
          <w:rFonts w:asciiTheme="minorEastAsia" w:hAnsiTheme="minorEastAsia" w:eastAsiaTheme="minorEastAsia"/>
          <w:b/>
          <w:sz w:val="24"/>
          <w:szCs w:val="24"/>
        </w:rPr>
        <w:t>构建了水沙调控与高效利用模式</w:t>
      </w:r>
    </w:p>
    <w:p>
      <w:pPr>
        <w:widowControl/>
        <w:adjustRightInd w:val="0"/>
        <w:snapToGrid w:val="0"/>
        <w:spacing w:line="360" w:lineRule="auto"/>
        <w:ind w:firstLine="480" w:firstLineChars="200"/>
        <w:rPr>
          <w:bCs/>
          <w:sz w:val="24"/>
          <w:szCs w:val="24"/>
        </w:rPr>
      </w:pPr>
      <w:r>
        <w:rPr>
          <w:bCs/>
          <w:sz w:val="24"/>
          <w:szCs w:val="24"/>
        </w:rPr>
        <w:t>构建了</w:t>
      </w:r>
      <w:r>
        <w:rPr>
          <w:rFonts w:hint="eastAsia"/>
          <w:bCs/>
          <w:sz w:val="24"/>
          <w:szCs w:val="24"/>
        </w:rPr>
        <w:t>“</w:t>
      </w:r>
      <w:r>
        <w:rPr>
          <w:bCs/>
          <w:sz w:val="24"/>
          <w:szCs w:val="24"/>
        </w:rPr>
        <w:t>梯田果园+固化剂集流+植被滤清+固化或橡塑水窖+高效利用+信息管理</w:t>
      </w:r>
      <w:r>
        <w:rPr>
          <w:rFonts w:hint="eastAsia"/>
          <w:bCs/>
          <w:sz w:val="24"/>
          <w:szCs w:val="24"/>
        </w:rPr>
        <w:t>”</w:t>
      </w:r>
      <w:r>
        <w:rPr>
          <w:bCs/>
          <w:sz w:val="24"/>
          <w:szCs w:val="24"/>
        </w:rPr>
        <w:t>模式，使降水利用率和果园产量分别提高了20%和15%，破解了长期困扰人们的山上侵蚀严重、土壤水肥条件差、种植苹果效益低的难题。提出了</w:t>
      </w:r>
      <w:r>
        <w:rPr>
          <w:rFonts w:hint="eastAsia"/>
          <w:bCs/>
          <w:sz w:val="24"/>
          <w:szCs w:val="24"/>
        </w:rPr>
        <w:t>“</w:t>
      </w:r>
      <w:r>
        <w:rPr>
          <w:bCs/>
          <w:sz w:val="24"/>
          <w:szCs w:val="24"/>
        </w:rPr>
        <w:t>土地整治+梯田（沟道台地）大棚+固化剂道路集流+植被滤清+固化土或橡塑水窖+高效利用</w:t>
      </w:r>
      <w:r>
        <w:rPr>
          <w:rFonts w:hint="eastAsia"/>
          <w:bCs/>
          <w:sz w:val="24"/>
          <w:szCs w:val="24"/>
        </w:rPr>
        <w:t>”</w:t>
      </w:r>
      <w:r>
        <w:rPr>
          <w:bCs/>
          <w:sz w:val="24"/>
          <w:szCs w:val="24"/>
        </w:rPr>
        <w:t>技术模式，使设施大棚节省灌溉费用2.8元/m</w:t>
      </w:r>
      <w:r>
        <w:rPr>
          <w:bCs/>
          <w:sz w:val="24"/>
          <w:szCs w:val="24"/>
          <w:vertAlign w:val="superscript"/>
        </w:rPr>
        <w:t>2</w:t>
      </w:r>
      <w:r>
        <w:rPr>
          <w:bCs/>
          <w:sz w:val="24"/>
          <w:szCs w:val="24"/>
        </w:rPr>
        <w:t>，减少侵蚀6000 t/(km</w:t>
      </w:r>
      <w:r>
        <w:rPr>
          <w:bCs/>
          <w:sz w:val="24"/>
          <w:szCs w:val="24"/>
          <w:vertAlign w:val="superscript"/>
        </w:rPr>
        <w:t>2</w:t>
      </w:r>
      <w:r>
        <w:rPr>
          <w:bCs/>
          <w:sz w:val="24"/>
          <w:szCs w:val="24"/>
        </w:rPr>
        <w:t>·a)以上，单个大棚每年可增产1500元左右，破解了黄土丘陵区</w:t>
      </w:r>
      <w:r>
        <w:rPr>
          <w:rFonts w:hint="eastAsia"/>
          <w:bCs/>
          <w:sz w:val="24"/>
          <w:szCs w:val="24"/>
        </w:rPr>
        <w:t>的</w:t>
      </w:r>
      <w:r>
        <w:rPr>
          <w:bCs/>
          <w:sz w:val="24"/>
          <w:szCs w:val="24"/>
        </w:rPr>
        <w:t>设施农业水土资源利用效率低的问题。</w:t>
      </w:r>
    </w:p>
    <w:p>
      <w:pPr>
        <w:widowControl/>
        <w:adjustRightInd w:val="0"/>
        <w:snapToGrid w:val="0"/>
        <w:spacing w:line="360" w:lineRule="auto"/>
        <w:ind w:firstLine="480" w:firstLineChars="200"/>
        <w:rPr>
          <w:bCs/>
          <w:sz w:val="24"/>
          <w:szCs w:val="24"/>
        </w:rPr>
      </w:pPr>
      <w:r>
        <w:rPr>
          <w:bCs/>
          <w:sz w:val="24"/>
          <w:szCs w:val="24"/>
        </w:rPr>
        <w:t>建立沟道和坡面土地整治及高效利用示范区1.836万亩，土壤流失量减少60%~80%，农田生产力提高15%以上，降水利用率提高20%以上，仅安塞区坡地苹果科技贡献年效益达2亿元。辐射带动省内外400~500万亩，目前水沙调控型水土保持高效农业每年以30万亩的速度增长，项目技术具有广阔的应用前景。在Journal of Hydrology、Agricultural Water Management、Science of The Total Environment、CATENA等主流期刊发表SCI/EI论文105篇，他引2807次；</w:t>
      </w:r>
      <w:r>
        <w:rPr>
          <w:rFonts w:hint="eastAsia"/>
          <w:bCs/>
          <w:sz w:val="24"/>
          <w:szCs w:val="24"/>
        </w:rPr>
        <w:t>出版专著4部；</w:t>
      </w:r>
      <w:r>
        <w:rPr>
          <w:bCs/>
          <w:sz w:val="24"/>
          <w:szCs w:val="24"/>
        </w:rPr>
        <w:t>授权发明专利28件</w:t>
      </w:r>
      <w:r>
        <w:rPr>
          <w:rFonts w:hint="eastAsia"/>
          <w:bCs/>
          <w:sz w:val="24"/>
          <w:szCs w:val="24"/>
        </w:rPr>
        <w:t>、实用新型5件；主编参编国家、行业、</w:t>
      </w:r>
      <w:r>
        <w:rPr>
          <w:bCs/>
          <w:sz w:val="24"/>
          <w:szCs w:val="24"/>
        </w:rPr>
        <w:t>地方</w:t>
      </w:r>
      <w:r>
        <w:rPr>
          <w:rFonts w:hint="eastAsia"/>
          <w:bCs/>
          <w:sz w:val="24"/>
          <w:szCs w:val="24"/>
        </w:rPr>
        <w:t>等相关</w:t>
      </w:r>
      <w:r>
        <w:rPr>
          <w:bCs/>
          <w:sz w:val="24"/>
          <w:szCs w:val="24"/>
        </w:rPr>
        <w:t>标准8项</w:t>
      </w:r>
      <w:r>
        <w:rPr>
          <w:rFonts w:hint="eastAsia"/>
          <w:bCs/>
          <w:sz w:val="24"/>
          <w:szCs w:val="24"/>
        </w:rPr>
        <w:t>；</w:t>
      </w:r>
      <w:r>
        <w:rPr>
          <w:bCs/>
          <w:sz w:val="24"/>
          <w:szCs w:val="24"/>
        </w:rPr>
        <w:t>获批计算机软件4项，培养研究生40人；提交水沙调控与高效利用相关重大建议2项，并获国务院主要领导和省领导批示，显著地促进了行业科技进步。示范基地先后于2008年和2022年两次得到时任国家主要领导人及国际著名人士的视察和指导，产生较大社会影响。</w:t>
      </w:r>
    </w:p>
    <w:p>
      <w:pPr>
        <w:widowControl/>
        <w:adjustRightInd w:val="0"/>
        <w:snapToGrid w:val="0"/>
        <w:spacing w:line="360" w:lineRule="auto"/>
        <w:jc w:val="left"/>
        <w:rPr>
          <w:rFonts w:eastAsia="黑体"/>
          <w:b/>
          <w:color w:val="0D0D0D"/>
          <w:sz w:val="24"/>
          <w:szCs w:val="24"/>
        </w:rPr>
      </w:pPr>
      <w:r>
        <w:rPr>
          <w:rFonts w:eastAsia="黑体"/>
          <w:b/>
          <w:color w:val="0D0D0D"/>
          <w:sz w:val="24"/>
          <w:szCs w:val="24"/>
        </w:rPr>
        <w:t>四、客观评价</w:t>
      </w:r>
    </w:p>
    <w:p>
      <w:pPr>
        <w:widowControl/>
        <w:adjustRightInd w:val="0"/>
        <w:snapToGrid w:val="0"/>
        <w:spacing w:line="360" w:lineRule="auto"/>
        <w:ind w:firstLine="480" w:firstLineChars="200"/>
        <w:rPr>
          <w:bCs/>
          <w:sz w:val="24"/>
          <w:szCs w:val="24"/>
        </w:rPr>
      </w:pPr>
      <w:r>
        <w:rPr>
          <w:bCs/>
          <w:sz w:val="24"/>
          <w:szCs w:val="24"/>
        </w:rPr>
        <w:t>（1）国家科技部、中国科学院组织的专家对国家支撑计划课题</w:t>
      </w:r>
      <w:r>
        <w:rPr>
          <w:rFonts w:hint="eastAsia"/>
          <w:bCs/>
          <w:sz w:val="24"/>
          <w:szCs w:val="24"/>
        </w:rPr>
        <w:t>“</w:t>
      </w:r>
      <w:r>
        <w:rPr>
          <w:bCs/>
          <w:sz w:val="24"/>
          <w:szCs w:val="24"/>
        </w:rPr>
        <w:t>黄土丘陵沟壑区水土保持与高效农业关键技术集成与示范（No.2011BAD31B05）</w:t>
      </w:r>
      <w:r>
        <w:rPr>
          <w:rFonts w:hint="eastAsia"/>
          <w:bCs/>
          <w:sz w:val="24"/>
          <w:szCs w:val="24"/>
        </w:rPr>
        <w:t>”</w:t>
      </w:r>
      <w:r>
        <w:rPr>
          <w:bCs/>
          <w:sz w:val="24"/>
          <w:szCs w:val="24"/>
        </w:rPr>
        <w:t>立项及验收意见认为：</w:t>
      </w:r>
      <w:r>
        <w:rPr>
          <w:rFonts w:hint="eastAsia"/>
          <w:bCs/>
          <w:sz w:val="24"/>
          <w:szCs w:val="24"/>
        </w:rPr>
        <w:t>“</w:t>
      </w:r>
      <w:r>
        <w:rPr>
          <w:bCs/>
          <w:sz w:val="24"/>
          <w:szCs w:val="24"/>
        </w:rPr>
        <w:t>课题成果的应用和推广取得了显著的生态效益、经济效益和社会效益</w:t>
      </w:r>
      <w:r>
        <w:rPr>
          <w:rFonts w:hint="eastAsia"/>
          <w:bCs/>
          <w:sz w:val="24"/>
          <w:szCs w:val="24"/>
        </w:rPr>
        <w:t>”</w:t>
      </w:r>
      <w:r>
        <w:rPr>
          <w:bCs/>
          <w:sz w:val="24"/>
          <w:szCs w:val="24"/>
        </w:rPr>
        <w:t>，</w:t>
      </w:r>
      <w:r>
        <w:rPr>
          <w:rFonts w:hint="eastAsia"/>
          <w:bCs/>
          <w:sz w:val="24"/>
          <w:szCs w:val="24"/>
        </w:rPr>
        <w:t>“</w:t>
      </w:r>
      <w:r>
        <w:rPr>
          <w:bCs/>
          <w:sz w:val="24"/>
          <w:szCs w:val="24"/>
        </w:rPr>
        <w:t>实施该项目意义重大</w:t>
      </w:r>
      <w:r>
        <w:rPr>
          <w:rFonts w:hint="eastAsia"/>
          <w:bCs/>
          <w:sz w:val="24"/>
          <w:szCs w:val="24"/>
        </w:rPr>
        <w:t>”</w:t>
      </w:r>
      <w:r>
        <w:rPr>
          <w:bCs/>
          <w:sz w:val="24"/>
          <w:szCs w:val="24"/>
        </w:rPr>
        <w:t>；</w:t>
      </w:r>
    </w:p>
    <w:p>
      <w:pPr>
        <w:widowControl/>
        <w:adjustRightInd w:val="0"/>
        <w:snapToGrid w:val="0"/>
        <w:spacing w:line="360" w:lineRule="auto"/>
        <w:ind w:firstLine="480" w:firstLineChars="200"/>
        <w:rPr>
          <w:bCs/>
          <w:sz w:val="24"/>
          <w:szCs w:val="24"/>
        </w:rPr>
      </w:pPr>
      <w:r>
        <w:rPr>
          <w:bCs/>
          <w:sz w:val="24"/>
          <w:szCs w:val="24"/>
        </w:rPr>
        <w:t>（2）国家自然科学基金面上项目</w:t>
      </w:r>
      <w:r>
        <w:rPr>
          <w:rFonts w:hint="eastAsia"/>
          <w:bCs/>
          <w:sz w:val="24"/>
          <w:szCs w:val="24"/>
        </w:rPr>
        <w:t>“</w:t>
      </w:r>
      <w:r>
        <w:rPr>
          <w:bCs/>
          <w:sz w:val="24"/>
          <w:szCs w:val="24"/>
        </w:rPr>
        <w:t>复杂下垫面暴雨径流侵蚀相似性模拟实验研究（No.41371276）</w:t>
      </w:r>
      <w:r>
        <w:rPr>
          <w:rFonts w:hint="eastAsia"/>
          <w:bCs/>
          <w:sz w:val="24"/>
          <w:szCs w:val="24"/>
        </w:rPr>
        <w:t>”</w:t>
      </w:r>
      <w:r>
        <w:rPr>
          <w:bCs/>
          <w:sz w:val="24"/>
          <w:szCs w:val="24"/>
        </w:rPr>
        <w:t>研究开发的</w:t>
      </w:r>
      <w:r>
        <w:rPr>
          <w:rFonts w:hint="eastAsia"/>
          <w:bCs/>
          <w:sz w:val="24"/>
          <w:szCs w:val="24"/>
        </w:rPr>
        <w:t>“</w:t>
      </w:r>
      <w:r>
        <w:rPr>
          <w:bCs/>
          <w:sz w:val="24"/>
          <w:szCs w:val="24"/>
        </w:rPr>
        <w:t>坡面及流域降雨径流侵蚀泥沙及污染物运移的正态、变态常规模型及薄层径流非常规比尺模型模拟系统</w:t>
      </w:r>
      <w:r>
        <w:rPr>
          <w:rFonts w:hint="eastAsia"/>
          <w:bCs/>
          <w:sz w:val="24"/>
          <w:szCs w:val="24"/>
        </w:rPr>
        <w:t>”</w:t>
      </w:r>
      <w:r>
        <w:rPr>
          <w:bCs/>
          <w:sz w:val="24"/>
          <w:szCs w:val="24"/>
        </w:rPr>
        <w:t>通过国家自然科学基金委的验收；</w:t>
      </w:r>
    </w:p>
    <w:p>
      <w:pPr>
        <w:widowControl/>
        <w:adjustRightInd w:val="0"/>
        <w:snapToGrid w:val="0"/>
        <w:spacing w:line="360" w:lineRule="auto"/>
        <w:ind w:firstLine="480" w:firstLineChars="200"/>
        <w:rPr>
          <w:bCs/>
          <w:sz w:val="24"/>
          <w:szCs w:val="24"/>
        </w:rPr>
      </w:pPr>
      <w:r>
        <w:rPr>
          <w:bCs/>
          <w:sz w:val="24"/>
          <w:szCs w:val="24"/>
        </w:rPr>
        <w:t>（3）国家支撑计划课题</w:t>
      </w:r>
      <w:r>
        <w:rPr>
          <w:rFonts w:hint="eastAsia"/>
          <w:bCs/>
          <w:sz w:val="24"/>
          <w:szCs w:val="24"/>
        </w:rPr>
        <w:t>“</w:t>
      </w:r>
      <w:r>
        <w:rPr>
          <w:bCs/>
          <w:sz w:val="24"/>
          <w:szCs w:val="24"/>
        </w:rPr>
        <w:t>坡面降雨径流调控与高效利用技术（No.2006BAD09B01）</w:t>
      </w:r>
      <w:r>
        <w:rPr>
          <w:rFonts w:hint="eastAsia"/>
          <w:bCs/>
          <w:sz w:val="24"/>
          <w:szCs w:val="24"/>
        </w:rPr>
        <w:t>”</w:t>
      </w:r>
      <w:r>
        <w:rPr>
          <w:bCs/>
          <w:sz w:val="24"/>
          <w:szCs w:val="24"/>
        </w:rPr>
        <w:t>通过中国科学院资源环境科学与技术局组织专家进行的课题验收</w:t>
      </w:r>
      <w:r>
        <w:rPr>
          <w:rFonts w:hint="eastAsia"/>
          <w:bCs/>
          <w:sz w:val="24"/>
          <w:szCs w:val="24"/>
        </w:rPr>
        <w:t>，</w:t>
      </w:r>
      <w:r>
        <w:rPr>
          <w:bCs/>
          <w:sz w:val="24"/>
          <w:szCs w:val="24"/>
        </w:rPr>
        <w:t>认为</w:t>
      </w:r>
      <w:r>
        <w:rPr>
          <w:rFonts w:hint="eastAsia"/>
          <w:bCs/>
          <w:sz w:val="24"/>
          <w:szCs w:val="24"/>
        </w:rPr>
        <w:t>：课题</w:t>
      </w:r>
      <w:r>
        <w:rPr>
          <w:bCs/>
          <w:sz w:val="24"/>
          <w:szCs w:val="24"/>
        </w:rPr>
        <w:t>研发的</w:t>
      </w:r>
      <w:r>
        <w:rPr>
          <w:rFonts w:hint="eastAsia"/>
          <w:bCs/>
          <w:sz w:val="24"/>
          <w:szCs w:val="24"/>
        </w:rPr>
        <w:t>“</w:t>
      </w:r>
      <w:r>
        <w:rPr>
          <w:bCs/>
          <w:sz w:val="24"/>
          <w:szCs w:val="24"/>
        </w:rPr>
        <w:t>水沙调控系列新材料、优化模拟技术、高效利用模式</w:t>
      </w:r>
      <w:r>
        <w:rPr>
          <w:rFonts w:hint="eastAsia"/>
          <w:bCs/>
          <w:sz w:val="24"/>
          <w:szCs w:val="24"/>
        </w:rPr>
        <w:t>”</w:t>
      </w:r>
      <w:r>
        <w:rPr>
          <w:bCs/>
          <w:sz w:val="24"/>
          <w:szCs w:val="24"/>
        </w:rPr>
        <w:t>等</w:t>
      </w:r>
      <w:r>
        <w:rPr>
          <w:rFonts w:hint="eastAsia"/>
          <w:bCs/>
          <w:sz w:val="24"/>
          <w:szCs w:val="24"/>
        </w:rPr>
        <w:t>技术，其中</w:t>
      </w:r>
      <w:r>
        <w:rPr>
          <w:bCs/>
          <w:sz w:val="24"/>
          <w:szCs w:val="24"/>
        </w:rPr>
        <w:t>4种黄土高原坡面降雨径流模式</w:t>
      </w:r>
      <w:r>
        <w:rPr>
          <w:rFonts w:hint="eastAsia"/>
          <w:bCs/>
          <w:sz w:val="24"/>
          <w:szCs w:val="24"/>
        </w:rPr>
        <w:t>得到</w:t>
      </w:r>
      <w:r>
        <w:rPr>
          <w:bCs/>
          <w:sz w:val="24"/>
          <w:szCs w:val="24"/>
        </w:rPr>
        <w:t>示范和推广；</w:t>
      </w:r>
    </w:p>
    <w:p>
      <w:pPr>
        <w:widowControl/>
        <w:adjustRightInd w:val="0"/>
        <w:snapToGrid w:val="0"/>
        <w:spacing w:line="360" w:lineRule="auto"/>
        <w:ind w:firstLine="480" w:firstLineChars="200"/>
        <w:rPr>
          <w:bCs/>
          <w:sz w:val="24"/>
          <w:szCs w:val="24"/>
        </w:rPr>
      </w:pPr>
      <w:r>
        <w:rPr>
          <w:bCs/>
          <w:sz w:val="24"/>
          <w:szCs w:val="24"/>
        </w:rPr>
        <w:t>（4）国家重点研发课题</w:t>
      </w:r>
      <w:r>
        <w:rPr>
          <w:rFonts w:hint="eastAsia"/>
          <w:bCs/>
          <w:sz w:val="24"/>
          <w:szCs w:val="24"/>
        </w:rPr>
        <w:t>“</w:t>
      </w:r>
      <w:r>
        <w:rPr>
          <w:bCs/>
          <w:sz w:val="24"/>
          <w:szCs w:val="24"/>
        </w:rPr>
        <w:t>黄土丘陵沟壑区边坡工程-沟道整治生态安全调控技术（No.2017YFC0504703）</w:t>
      </w:r>
      <w:r>
        <w:rPr>
          <w:rFonts w:hint="eastAsia"/>
          <w:bCs/>
          <w:sz w:val="24"/>
          <w:szCs w:val="24"/>
        </w:rPr>
        <w:t>”</w:t>
      </w:r>
      <w:r>
        <w:rPr>
          <w:bCs/>
          <w:sz w:val="24"/>
          <w:szCs w:val="24"/>
        </w:rPr>
        <w:t>绩效</w:t>
      </w:r>
      <w:r>
        <w:rPr>
          <w:rFonts w:hint="eastAsia"/>
          <w:bCs/>
          <w:sz w:val="24"/>
          <w:szCs w:val="24"/>
        </w:rPr>
        <w:t>评价专家组</w:t>
      </w:r>
      <w:r>
        <w:rPr>
          <w:bCs/>
          <w:sz w:val="24"/>
          <w:szCs w:val="24"/>
        </w:rPr>
        <w:t>意见认为</w:t>
      </w:r>
      <w:r>
        <w:rPr>
          <w:rFonts w:hint="eastAsia"/>
          <w:bCs/>
          <w:sz w:val="24"/>
          <w:szCs w:val="24"/>
        </w:rPr>
        <w:t>：“</w:t>
      </w:r>
      <w:r>
        <w:rPr>
          <w:bCs/>
          <w:sz w:val="24"/>
          <w:szCs w:val="24"/>
        </w:rPr>
        <w:t>研发的高陡边坡产汇流计算方法、增湿条件下边坡稳定性计算分析方法、生物结皮种源快速扩繁及还绿技术等形成了削坡工程安全调控技术</w:t>
      </w:r>
      <w:r>
        <w:rPr>
          <w:rFonts w:hint="eastAsia"/>
          <w:bCs/>
          <w:sz w:val="24"/>
          <w:szCs w:val="24"/>
        </w:rPr>
        <w:t>；</w:t>
      </w:r>
      <w:r>
        <w:rPr>
          <w:bCs/>
          <w:sz w:val="24"/>
          <w:szCs w:val="24"/>
        </w:rPr>
        <w:t>研发的纳米新材料技术、沟道造地填挖交界面沉降调控技术、新造地土壤改良及熟化技术、固堤保坎技术、除碱排盐抗蚀排导</w:t>
      </w:r>
      <w:r>
        <w:rPr>
          <w:rFonts w:hint="eastAsia"/>
          <w:bCs/>
          <w:sz w:val="24"/>
          <w:szCs w:val="24"/>
        </w:rPr>
        <w:t>技术、</w:t>
      </w:r>
      <w:r>
        <w:rPr>
          <w:bCs/>
          <w:sz w:val="24"/>
          <w:szCs w:val="24"/>
        </w:rPr>
        <w:t>沟道梯级土地整治工程水毁风险分析及评估方法等，形成了坡沟系统安全调控技术体系</w:t>
      </w:r>
      <w:r>
        <w:rPr>
          <w:rFonts w:hint="eastAsia"/>
          <w:bCs/>
          <w:sz w:val="24"/>
          <w:szCs w:val="24"/>
        </w:rPr>
        <w:t>”</w:t>
      </w:r>
      <w:r>
        <w:rPr>
          <w:bCs/>
          <w:sz w:val="24"/>
          <w:szCs w:val="24"/>
        </w:rPr>
        <w:t>；</w:t>
      </w:r>
    </w:p>
    <w:p>
      <w:pPr>
        <w:widowControl/>
        <w:adjustRightInd w:val="0"/>
        <w:snapToGrid w:val="0"/>
        <w:spacing w:line="360" w:lineRule="auto"/>
        <w:ind w:firstLine="480" w:firstLineChars="200"/>
        <w:rPr>
          <w:bCs/>
          <w:sz w:val="24"/>
          <w:szCs w:val="24"/>
        </w:rPr>
      </w:pPr>
      <w:r>
        <w:rPr>
          <w:bCs/>
          <w:sz w:val="24"/>
          <w:szCs w:val="24"/>
        </w:rPr>
        <w:t>（5）国家重点研发课题</w:t>
      </w:r>
      <w:r>
        <w:rPr>
          <w:rFonts w:hint="eastAsia"/>
          <w:bCs/>
          <w:sz w:val="24"/>
          <w:szCs w:val="24"/>
        </w:rPr>
        <w:t>“</w:t>
      </w:r>
      <w:r>
        <w:rPr>
          <w:bCs/>
          <w:sz w:val="24"/>
          <w:szCs w:val="24"/>
        </w:rPr>
        <w:t>沟道及坡面治理工程的生态安全保障技术集成与综合示范（No.2017YFC0504705）</w:t>
      </w:r>
      <w:r>
        <w:rPr>
          <w:rFonts w:hint="eastAsia"/>
          <w:bCs/>
          <w:sz w:val="24"/>
          <w:szCs w:val="24"/>
        </w:rPr>
        <w:t>”</w:t>
      </w:r>
      <w:r>
        <w:rPr>
          <w:bCs/>
          <w:sz w:val="24"/>
          <w:szCs w:val="24"/>
        </w:rPr>
        <w:t>绩效</w:t>
      </w:r>
      <w:r>
        <w:rPr>
          <w:rFonts w:hint="eastAsia"/>
          <w:bCs/>
          <w:sz w:val="24"/>
          <w:szCs w:val="24"/>
        </w:rPr>
        <w:t>评价专家组</w:t>
      </w:r>
      <w:r>
        <w:rPr>
          <w:bCs/>
          <w:sz w:val="24"/>
          <w:szCs w:val="24"/>
        </w:rPr>
        <w:t>意见认为</w:t>
      </w:r>
      <w:r>
        <w:rPr>
          <w:rFonts w:hint="eastAsia"/>
          <w:bCs/>
          <w:sz w:val="24"/>
          <w:szCs w:val="24"/>
        </w:rPr>
        <w:t>：“</w:t>
      </w:r>
      <w:r>
        <w:rPr>
          <w:bCs/>
          <w:sz w:val="24"/>
          <w:szCs w:val="24"/>
        </w:rPr>
        <w:t>构建的沟道-坡面治理工程复合技术体系，形成了沟道及坡面治理工程需求程度评价技术，提出了沟道-坡面治理工程的规划设计与施工技术，编制了沟道及坡面治理工程关键技术示范方案与施工方案，实现了8项技术的系统集成，形成了7大示范工程</w:t>
      </w:r>
      <w:r>
        <w:rPr>
          <w:rFonts w:hint="eastAsia"/>
          <w:bCs/>
          <w:sz w:val="24"/>
          <w:szCs w:val="24"/>
        </w:rPr>
        <w:t>”</w:t>
      </w:r>
      <w:r>
        <w:rPr>
          <w:bCs/>
          <w:sz w:val="24"/>
          <w:szCs w:val="24"/>
        </w:rPr>
        <w:t>；</w:t>
      </w:r>
    </w:p>
    <w:p>
      <w:pPr>
        <w:widowControl/>
        <w:adjustRightInd w:val="0"/>
        <w:snapToGrid w:val="0"/>
        <w:spacing w:line="360" w:lineRule="auto"/>
        <w:ind w:firstLine="480" w:firstLineChars="200"/>
        <w:rPr>
          <w:bCs/>
          <w:sz w:val="24"/>
          <w:szCs w:val="24"/>
        </w:rPr>
      </w:pPr>
      <w:r>
        <w:rPr>
          <w:bCs/>
          <w:sz w:val="24"/>
          <w:szCs w:val="24"/>
        </w:rPr>
        <w:t>（6）项目成果梯田的水土保持作用机制计算机模块嵌入2008SWAT488版，在世界各地得到广泛应用，课题组成员邵辉博士获得美国农业部SWAT开发突出贡献奖；</w:t>
      </w:r>
    </w:p>
    <w:p>
      <w:pPr>
        <w:widowControl/>
        <w:adjustRightInd w:val="0"/>
        <w:snapToGrid w:val="0"/>
        <w:spacing w:line="360" w:lineRule="auto"/>
        <w:ind w:firstLine="480" w:firstLineChars="200"/>
        <w:rPr>
          <w:bCs/>
          <w:sz w:val="24"/>
          <w:szCs w:val="24"/>
        </w:rPr>
      </w:pPr>
      <w:r>
        <w:rPr>
          <w:bCs/>
          <w:sz w:val="24"/>
          <w:szCs w:val="24"/>
        </w:rPr>
        <w:t>（7）项目部分成果</w:t>
      </w:r>
      <w:r>
        <w:rPr>
          <w:rFonts w:hint="eastAsia"/>
          <w:bCs/>
          <w:sz w:val="24"/>
          <w:szCs w:val="24"/>
        </w:rPr>
        <w:t>“</w:t>
      </w:r>
      <w:r>
        <w:rPr>
          <w:bCs/>
          <w:sz w:val="24"/>
          <w:szCs w:val="24"/>
        </w:rPr>
        <w:t>黄土丘陵区坡面水沙调控与高效利用关键技术研究</w:t>
      </w:r>
      <w:r>
        <w:rPr>
          <w:rFonts w:hint="eastAsia"/>
          <w:bCs/>
          <w:sz w:val="24"/>
          <w:szCs w:val="24"/>
        </w:rPr>
        <w:t>”</w:t>
      </w:r>
      <w:r>
        <w:rPr>
          <w:bCs/>
          <w:sz w:val="24"/>
          <w:szCs w:val="24"/>
        </w:rPr>
        <w:t>获第十三届中国水土保持学会科技奖（中国水土保持学会2021年度科学技术奖）一等奖（证书号：SBXH2021-J-1-02-R01）。授奖日期：2022年2月25日。</w:t>
      </w:r>
    </w:p>
    <w:p>
      <w:pPr>
        <w:pStyle w:val="2"/>
        <w:adjustRightInd w:val="0"/>
        <w:snapToGrid w:val="0"/>
        <w:ind w:firstLine="0" w:firstLineChars="0"/>
        <w:jc w:val="left"/>
        <w:rPr>
          <w:rFonts w:ascii="Times New Roman" w:eastAsia="黑体"/>
          <w:b/>
          <w:szCs w:val="24"/>
        </w:rPr>
      </w:pPr>
      <w:r>
        <w:rPr>
          <w:rFonts w:ascii="Times New Roman" w:eastAsia="黑体"/>
          <w:b/>
          <w:color w:val="0D0D0D"/>
          <w:szCs w:val="24"/>
        </w:rPr>
        <w:t>五、</w:t>
      </w:r>
      <w:r>
        <w:rPr>
          <w:rFonts w:ascii="Times New Roman" w:eastAsia="黑体"/>
          <w:b/>
          <w:szCs w:val="24"/>
        </w:rPr>
        <w:t>应用情况</w:t>
      </w:r>
    </w:p>
    <w:p>
      <w:pPr>
        <w:widowControl/>
        <w:adjustRightInd w:val="0"/>
        <w:snapToGrid w:val="0"/>
        <w:spacing w:line="360" w:lineRule="auto"/>
        <w:ind w:firstLine="480" w:firstLineChars="200"/>
        <w:rPr>
          <w:bCs/>
          <w:sz w:val="24"/>
          <w:szCs w:val="24"/>
        </w:rPr>
      </w:pPr>
      <w:r>
        <w:rPr>
          <w:bCs/>
          <w:sz w:val="24"/>
          <w:szCs w:val="24"/>
        </w:rPr>
        <w:t>坡面水沙调控与高效利用技术核心示范面积1000余亩，推广辐射400余万亩。相关技术进入规范，并在甘肃、宁夏、内蒙、湖南等地应用。项目技术对安塞区山地苹果科技贡献2亿元/年，对延安市山地苹果贡献约15亿元/年。</w:t>
      </w:r>
    </w:p>
    <w:p>
      <w:pPr>
        <w:widowControl/>
        <w:adjustRightInd w:val="0"/>
        <w:snapToGrid w:val="0"/>
        <w:spacing w:line="360" w:lineRule="auto"/>
        <w:ind w:firstLine="480" w:firstLineChars="200"/>
        <w:rPr>
          <w:bCs/>
          <w:sz w:val="24"/>
          <w:szCs w:val="24"/>
        </w:rPr>
      </w:pPr>
      <w:r>
        <w:rPr>
          <w:bCs/>
          <w:sz w:val="24"/>
          <w:szCs w:val="24"/>
        </w:rPr>
        <w:t>研发的“削坡工程安全调控技术”和“坡沟安全调控系统”相关技术在陕西延安羊圈沟核心试验示范面积360亩，辐射面积3030亩，示范区侵蚀量减少20%,坡沟系统扰动地表治理度提高30%，侵蚀模数降低30%。相关技术还在湖南新化等地进行示范与推辐射总面积达10余km</w:t>
      </w:r>
      <w:r>
        <w:rPr>
          <w:bCs/>
          <w:sz w:val="24"/>
          <w:szCs w:val="24"/>
          <w:vertAlign w:val="superscript"/>
        </w:rPr>
        <w:t>2</w:t>
      </w:r>
      <w:r>
        <w:rPr>
          <w:bCs/>
          <w:sz w:val="24"/>
          <w:szCs w:val="24"/>
        </w:rPr>
        <w:t>。</w:t>
      </w:r>
    </w:p>
    <w:p>
      <w:pPr>
        <w:widowControl/>
        <w:adjustRightInd w:val="0"/>
        <w:snapToGrid w:val="0"/>
        <w:spacing w:line="360" w:lineRule="auto"/>
        <w:ind w:firstLine="480" w:firstLineChars="200"/>
        <w:rPr>
          <w:bCs/>
          <w:sz w:val="24"/>
          <w:szCs w:val="24"/>
        </w:rPr>
      </w:pPr>
      <w:r>
        <w:rPr>
          <w:bCs/>
          <w:sz w:val="24"/>
          <w:szCs w:val="24"/>
        </w:rPr>
        <w:t>构建的“沟道-坡面治理工程复合技术体系”，实现了</w:t>
      </w:r>
      <w:r>
        <w:rPr>
          <w:rFonts w:hint="eastAsia"/>
          <w:bCs/>
          <w:sz w:val="24"/>
          <w:szCs w:val="24"/>
        </w:rPr>
        <w:t>“</w:t>
      </w:r>
      <w:r>
        <w:rPr>
          <w:bCs/>
          <w:sz w:val="24"/>
          <w:szCs w:val="24"/>
        </w:rPr>
        <w:t>8项技术的系统集成，形成了7大示范工程</w:t>
      </w:r>
      <w:r>
        <w:rPr>
          <w:rFonts w:hint="eastAsia"/>
          <w:bCs/>
          <w:sz w:val="24"/>
          <w:szCs w:val="24"/>
        </w:rPr>
        <w:t>”</w:t>
      </w:r>
      <w:r>
        <w:rPr>
          <w:bCs/>
          <w:sz w:val="24"/>
          <w:szCs w:val="24"/>
        </w:rPr>
        <w:t>，在延安、榆林、平凉等地区建立了县域试验示范基地，示范面积1.7万亩。</w:t>
      </w:r>
    </w:p>
    <w:p>
      <w:pPr>
        <w:widowControl/>
        <w:adjustRightInd w:val="0"/>
        <w:snapToGrid w:val="0"/>
        <w:spacing w:line="360" w:lineRule="auto"/>
        <w:ind w:firstLine="480" w:firstLineChars="200"/>
        <w:rPr>
          <w:bCs/>
          <w:sz w:val="24"/>
          <w:szCs w:val="24"/>
        </w:rPr>
      </w:pPr>
      <w:r>
        <w:rPr>
          <w:bCs/>
          <w:sz w:val="24"/>
          <w:szCs w:val="24"/>
        </w:rPr>
        <w:t>培训超过8000人，开发的模型SWAT-Terrace在我国、美国、加拿大等进行大量应用。该模型填补了大型水文模型的空白，量化评估了黄土高原梯田减沙约1万t/(km</w:t>
      </w:r>
      <w:r>
        <w:rPr>
          <w:bCs/>
          <w:sz w:val="24"/>
          <w:szCs w:val="24"/>
          <w:vertAlign w:val="superscript"/>
        </w:rPr>
        <w:t>2</w:t>
      </w:r>
      <w:r>
        <w:rPr>
          <w:bCs/>
          <w:sz w:val="24"/>
          <w:szCs w:val="24"/>
        </w:rPr>
        <w:t>·a)，减少黄河输沙约4亿吨，阐释了黄土高原发展梯田的必要性。</w:t>
      </w:r>
    </w:p>
    <w:p>
      <w:pPr>
        <w:widowControl/>
        <w:adjustRightInd w:val="0"/>
        <w:snapToGrid w:val="0"/>
        <w:spacing w:line="360" w:lineRule="auto"/>
        <w:ind w:firstLine="480" w:firstLineChars="200"/>
        <w:rPr>
          <w:bCs/>
          <w:sz w:val="24"/>
          <w:szCs w:val="24"/>
        </w:rPr>
      </w:pPr>
      <w:r>
        <w:rPr>
          <w:bCs/>
          <w:sz w:val="24"/>
          <w:szCs w:val="24"/>
        </w:rPr>
        <w:t>研究基地的</w:t>
      </w:r>
      <w:r>
        <w:rPr>
          <w:rFonts w:hint="eastAsia"/>
          <w:bCs/>
          <w:sz w:val="24"/>
          <w:szCs w:val="24"/>
        </w:rPr>
        <w:t>“</w:t>
      </w:r>
      <w:r>
        <w:rPr>
          <w:bCs/>
          <w:sz w:val="24"/>
          <w:szCs w:val="24"/>
        </w:rPr>
        <w:t>山上水沙调控，山下淤地坝防控</w:t>
      </w:r>
      <w:r>
        <w:rPr>
          <w:rFonts w:hint="eastAsia"/>
          <w:bCs/>
          <w:sz w:val="24"/>
          <w:szCs w:val="24"/>
        </w:rPr>
        <w:t>”</w:t>
      </w:r>
      <w:r>
        <w:rPr>
          <w:bCs/>
          <w:sz w:val="24"/>
          <w:szCs w:val="24"/>
        </w:rPr>
        <w:t>等相关技术成果作为《加强陕北山地苹果产业提质增效与风险防控的建议》、《黄土高原淤地坝建设与风险管控的建议》两项重大建议的支撑材料，得到时任国务院总理等主要领导及省部级领导的批示。示范基地延安南沟和方塔先后两次得到国家主要领导人视察和指导，为黄土高原水沙调控及高效利用指明了方向。</w:t>
      </w:r>
    </w:p>
    <w:p>
      <w:pPr>
        <w:widowControl/>
        <w:adjustRightInd w:val="0"/>
        <w:snapToGrid w:val="0"/>
        <w:spacing w:line="360" w:lineRule="auto"/>
        <w:ind w:firstLine="480" w:firstLineChars="200"/>
        <w:rPr>
          <w:bCs/>
          <w:sz w:val="24"/>
          <w:szCs w:val="24"/>
        </w:rPr>
      </w:pPr>
    </w:p>
    <w:p>
      <w:pPr>
        <w:widowControl/>
        <w:adjustRightInd w:val="0"/>
        <w:snapToGrid w:val="0"/>
        <w:spacing w:line="360" w:lineRule="auto"/>
        <w:ind w:firstLine="480" w:firstLineChars="200"/>
        <w:rPr>
          <w:bCs/>
          <w:sz w:val="24"/>
          <w:szCs w:val="24"/>
        </w:rPr>
      </w:pPr>
    </w:p>
    <w:p>
      <w:pPr>
        <w:widowControl/>
        <w:adjustRightInd w:val="0"/>
        <w:snapToGrid w:val="0"/>
        <w:spacing w:line="360" w:lineRule="auto"/>
        <w:ind w:firstLine="480" w:firstLineChars="200"/>
        <w:rPr>
          <w:bCs/>
          <w:sz w:val="24"/>
          <w:szCs w:val="24"/>
        </w:rPr>
      </w:pPr>
    </w:p>
    <w:p>
      <w:pPr>
        <w:pStyle w:val="2"/>
        <w:adjustRightInd w:val="0"/>
        <w:snapToGrid w:val="0"/>
        <w:ind w:firstLine="0" w:firstLineChars="0"/>
        <w:jc w:val="left"/>
        <w:rPr>
          <w:rFonts w:ascii="Times New Roman" w:eastAsia="黑体"/>
          <w:b/>
          <w:color w:val="0D0D0D"/>
          <w:szCs w:val="24"/>
        </w:rPr>
      </w:pPr>
      <w:r>
        <w:rPr>
          <w:rFonts w:ascii="Times New Roman" w:eastAsia="黑体"/>
          <w:b/>
          <w:color w:val="0D0D0D"/>
          <w:szCs w:val="24"/>
        </w:rPr>
        <w:t>六、主要知识产权和标准规范目录（发明奖和进步奖填写，限10条</w:t>
      </w:r>
      <w:r>
        <w:rPr>
          <w:rFonts w:ascii="Times New Roman" w:eastAsia="黑体"/>
          <w:b/>
          <w:szCs w:val="32"/>
        </w:rPr>
        <w:t>)</w:t>
      </w:r>
    </w:p>
    <w:tbl>
      <w:tblPr>
        <w:tblStyle w:val="5"/>
        <w:tblW w:w="88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50"/>
        <w:gridCol w:w="1587"/>
        <w:gridCol w:w="794"/>
        <w:gridCol w:w="1361"/>
        <w:gridCol w:w="850"/>
        <w:gridCol w:w="907"/>
        <w:gridCol w:w="964"/>
        <w:gridCol w:w="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序号</w:t>
            </w:r>
          </w:p>
        </w:tc>
        <w:tc>
          <w:tcPr>
            <w:tcW w:w="85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知识产权类别</w:t>
            </w:r>
          </w:p>
        </w:tc>
        <w:tc>
          <w:tcPr>
            <w:tcW w:w="1587"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知识产权具体名称</w:t>
            </w:r>
          </w:p>
        </w:tc>
        <w:tc>
          <w:tcPr>
            <w:tcW w:w="794"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国家</w:t>
            </w:r>
          </w:p>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(地区)</w:t>
            </w:r>
          </w:p>
        </w:tc>
        <w:tc>
          <w:tcPr>
            <w:tcW w:w="1361"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授权号</w:t>
            </w:r>
          </w:p>
        </w:tc>
        <w:tc>
          <w:tcPr>
            <w:tcW w:w="85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授权日期</w:t>
            </w:r>
          </w:p>
        </w:tc>
        <w:tc>
          <w:tcPr>
            <w:tcW w:w="907"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证书编号</w:t>
            </w:r>
          </w:p>
        </w:tc>
        <w:tc>
          <w:tcPr>
            <w:tcW w:w="964"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权利人</w:t>
            </w:r>
          </w:p>
        </w:tc>
        <w:tc>
          <w:tcPr>
            <w:tcW w:w="85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1</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一种坡地高效农业用水滤清系统的制备方法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ZL201410036089.7</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2014年06月11日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证书号第1811026号</w:t>
            </w:r>
          </w:p>
        </w:tc>
        <w:tc>
          <w:tcPr>
            <w:tcW w:w="964" w:type="dxa"/>
            <w:vAlign w:val="center"/>
          </w:tcPr>
          <w:p>
            <w:pPr>
              <w:pStyle w:val="2"/>
              <w:adjustRightInd w:val="0"/>
              <w:snapToGrid w:val="0"/>
              <w:spacing w:line="240" w:lineRule="auto"/>
              <w:ind w:firstLine="0" w:firstLineChars="0"/>
              <w:rPr>
                <w:rFonts w:ascii="Times New Roman"/>
                <w:color w:val="0D0D0D"/>
                <w:w w:val="90"/>
                <w:sz w:val="15"/>
                <w:szCs w:val="15"/>
              </w:rPr>
            </w:pPr>
            <w:r>
              <w:rPr>
                <w:rFonts w:ascii="Times New Roman"/>
                <w:color w:val="0D0D0D"/>
                <w:w w:val="90"/>
                <w:sz w:val="15"/>
                <w:szCs w:val="15"/>
              </w:rPr>
              <w:t>西北农林科技大学，中国科学院水利部水土保持研究所，国家节水灌溉杨凌工程技术研究中心</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一种沟道梯级土地整治工程暴雨洪水安全风险评估方法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ZL20211067601.4</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2023年12月05日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证书号第5489535号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张根广</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韩剑桥</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李兴华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3</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一种新型土壤固化剂</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ZL200410073273.5</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2006年05月31日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证书号第266730号</w:t>
            </w:r>
          </w:p>
        </w:tc>
        <w:tc>
          <w:tcPr>
            <w:tcW w:w="964" w:type="dxa"/>
            <w:vAlign w:val="center"/>
          </w:tcPr>
          <w:p>
            <w:pPr>
              <w:pStyle w:val="2"/>
              <w:adjustRightInd w:val="0"/>
              <w:snapToGrid w:val="0"/>
              <w:spacing w:line="240" w:lineRule="auto"/>
              <w:ind w:firstLine="0" w:firstLineChars="0"/>
              <w:rPr>
                <w:rFonts w:ascii="Times New Roman"/>
                <w:color w:val="0D0D0D"/>
                <w:w w:val="90"/>
                <w:sz w:val="15"/>
                <w:szCs w:val="15"/>
              </w:rPr>
            </w:pPr>
            <w:r>
              <w:rPr>
                <w:rFonts w:ascii="Times New Roman"/>
                <w:color w:val="0D0D0D"/>
                <w:w w:val="90"/>
                <w:sz w:val="15"/>
                <w:szCs w:val="15"/>
              </w:rPr>
              <w:t>西北农林科技大学，中国科学院水利部水土保持研究所，国家节水灌溉杨凌工程技术研究中心</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吴普特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4</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一种柔性环保橡塑水窖及其制备方法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ZL200510096014.9</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2009年08月05日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证书号第532634号</w:t>
            </w:r>
          </w:p>
        </w:tc>
        <w:tc>
          <w:tcPr>
            <w:tcW w:w="964" w:type="dxa"/>
            <w:vAlign w:val="center"/>
          </w:tcPr>
          <w:p>
            <w:pPr>
              <w:pStyle w:val="2"/>
              <w:adjustRightInd w:val="0"/>
              <w:snapToGrid w:val="0"/>
              <w:spacing w:line="240" w:lineRule="auto"/>
              <w:ind w:firstLine="0" w:firstLineChars="0"/>
              <w:rPr>
                <w:rFonts w:ascii="Times New Roman"/>
                <w:color w:val="0D0D0D"/>
                <w:w w:val="90"/>
                <w:sz w:val="15"/>
                <w:szCs w:val="15"/>
              </w:rPr>
            </w:pPr>
            <w:r>
              <w:rPr>
                <w:rFonts w:ascii="Times New Roman"/>
                <w:color w:val="0D0D0D"/>
                <w:w w:val="90"/>
                <w:sz w:val="15"/>
                <w:szCs w:val="15"/>
              </w:rPr>
              <w:t>西北农林科技大学，中国科学院水利部水土保持研究所，国家节水灌溉杨凌工程技术研究中心</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朱德兰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5</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一种秸秆木炭制备的土壤扩蓄增</w:t>
            </w:r>
            <w:r>
              <w:rPr>
                <w:rFonts w:hint="eastAsia" w:ascii="Times New Roman"/>
                <w:color w:val="0D0D0D"/>
                <w:w w:val="90"/>
                <w:sz w:val="15"/>
                <w:szCs w:val="15"/>
              </w:rPr>
              <w:t>容</w:t>
            </w:r>
            <w:r>
              <w:rPr>
                <w:rFonts w:ascii="Times New Roman"/>
                <w:color w:val="0D0D0D"/>
                <w:w w:val="90"/>
                <w:sz w:val="15"/>
                <w:szCs w:val="15"/>
              </w:rPr>
              <w:t>剂及其生产方法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ZL200710017797.6</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2009年12月16日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证书号第53579980号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西北农林科技大学，中国科学院水利部水土保持研究所</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冯浩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吴普特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6</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一种新型文丘里吸肥器</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ZL201210149369.X</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2014年04月14日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证书号第1381652号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范兴科</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吴普特等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7</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实用新型专利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一种旱地果园绿色智能集雨系统</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 2023 21077926.1</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2023年12月05日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证书号第20119370号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张根广</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樊恒辉</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赵春红</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龙韶博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8</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基于增湿条件的强度折减计算边坡稳定安全系数的方法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ZL201710507915.5</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2020年08月14日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证书号第3940609号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田堪良</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9</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规范</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黄土丘陵沟壑区水土保持型高效农业技术规范</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DB61/T1010-2016</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2016年02月24日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陕西省质量技术监督局</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樊恒辉</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李兴华</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韩剑桥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10</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规范</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黄土丘陵沟壑区沟道土地整治及控制工程技术规范</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DB61/T1746-2023</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2023年11月13日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陕西省市场监督管理局</w:t>
            </w:r>
          </w:p>
        </w:tc>
        <w:tc>
          <w:tcPr>
            <w:tcW w:w="964" w:type="dxa"/>
            <w:vAlign w:val="center"/>
          </w:tcPr>
          <w:p>
            <w:pPr>
              <w:adjustRightInd w:val="0"/>
              <w:snapToGrid w:val="0"/>
              <w:jc w:val="center"/>
              <w:rPr>
                <w:color w:val="0D0D0D"/>
                <w:w w:val="90"/>
                <w:sz w:val="15"/>
                <w:szCs w:val="15"/>
              </w:rPr>
            </w:pPr>
            <w:r>
              <w:rPr>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樊恒辉</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韩剑桥</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罗林涛</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田堪良</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张根广</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李兴华</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龙韶博等</w:t>
            </w:r>
          </w:p>
        </w:tc>
      </w:tr>
    </w:tbl>
    <w:p>
      <w:pPr>
        <w:pStyle w:val="2"/>
        <w:ind w:firstLine="0" w:firstLineChars="0"/>
        <w:jc w:val="left"/>
        <w:rPr>
          <w:rFonts w:ascii="Times New Roman" w:eastAsia="黑体"/>
          <w:b/>
          <w:color w:val="0D0D0D"/>
          <w:szCs w:val="24"/>
        </w:rPr>
      </w:pPr>
      <w:r>
        <w:rPr>
          <w:rFonts w:ascii="Times New Roman" w:eastAsia="黑体"/>
          <w:b/>
          <w:color w:val="0D0D0D"/>
          <w:szCs w:val="24"/>
        </w:rPr>
        <w:t>七、主要完成人情况</w:t>
      </w: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07"/>
        <w:gridCol w:w="1588"/>
        <w:gridCol w:w="1842"/>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姓名</w:t>
            </w:r>
          </w:p>
        </w:tc>
        <w:tc>
          <w:tcPr>
            <w:tcW w:w="707"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排名</w:t>
            </w:r>
          </w:p>
        </w:tc>
        <w:tc>
          <w:tcPr>
            <w:tcW w:w="1588"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行政/技术职称</w:t>
            </w:r>
          </w:p>
        </w:tc>
        <w:tc>
          <w:tcPr>
            <w:tcW w:w="1842"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工作单位/完成单位</w:t>
            </w:r>
          </w:p>
        </w:tc>
        <w:tc>
          <w:tcPr>
            <w:tcW w:w="3657"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高建恩</w:t>
            </w:r>
          </w:p>
          <w:p>
            <w:pPr>
              <w:pStyle w:val="2"/>
              <w:adjustRightInd w:val="0"/>
              <w:snapToGrid w:val="0"/>
              <w:spacing w:line="240" w:lineRule="auto"/>
              <w:ind w:firstLine="0" w:firstLineChars="0"/>
              <w:jc w:val="center"/>
              <w:rPr>
                <w:rFonts w:ascii="Times New Roman"/>
                <w:sz w:val="17"/>
                <w:szCs w:val="17"/>
              </w:rPr>
            </w:pP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无/教授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负责整个项目研究计划和方案的制定、审定，并组织实施；在水沙调控材料、装置、形式及模拟方面取得明显进展。发现“双紊动源”作用机制、“水沙调控”主控因素等。“主要知识产权和标准规范”1、2、3、4、7、8、9、10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吴普特</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2</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校长/教授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坡面降雨径流调控利用理论的主要构建者，在水沙材料、装置及形式方面</w:t>
            </w:r>
            <w:r>
              <w:rPr>
                <w:rFonts w:hint="eastAsia" w:ascii="Times New Roman"/>
                <w:sz w:val="17"/>
                <w:szCs w:val="17"/>
              </w:rPr>
              <w:t>作出</w:t>
            </w:r>
            <w:r>
              <w:rPr>
                <w:rFonts w:ascii="Times New Roman"/>
                <w:sz w:val="17"/>
                <w:szCs w:val="17"/>
              </w:rPr>
              <w:t>突出贡献。“主要知识产权和标准规范”中第3、第5、6主要完成人。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冯浩</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3</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院长/研究员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坡面降雨径流调控利用理论和应用方面取得进展，特别是在土壤扩蓄增容新材料及高效利用等方面取得重大进展，“主要知识产权和标准规范”中第5主要完成人。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樊恒辉</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4</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副院长/研究员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主要负责“农田水沙调控新型材料开发与技术集成示范”的研究，研发了液态土壤固化剂、固化土水窖等。是“主要知识产权和标准规范”7、9、10主要完成人之一。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罗林涛</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5</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总工程师/研究员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陕西省土地工程建设集团有限责任公司</w:t>
            </w:r>
            <w:r>
              <w:rPr>
                <w:rFonts w:hint="eastAsia" w:ascii="Times New Roman"/>
                <w:sz w:val="17"/>
                <w:szCs w:val="17"/>
              </w:rPr>
              <w:t>/</w:t>
            </w:r>
            <w:r>
              <w:rPr>
                <w:rFonts w:ascii="Times New Roman"/>
                <w:sz w:val="17"/>
                <w:szCs w:val="17"/>
              </w:rPr>
              <w:t>陕西省土地工程建设集团有限责任公司</w:t>
            </w:r>
          </w:p>
        </w:tc>
        <w:tc>
          <w:tcPr>
            <w:tcW w:w="3657" w:type="dxa"/>
            <w:vAlign w:val="center"/>
          </w:tcPr>
          <w:p>
            <w:pPr>
              <w:adjustRightInd w:val="0"/>
              <w:snapToGrid w:val="0"/>
              <w:ind w:firstLine="340" w:firstLineChars="200"/>
              <w:rPr>
                <w:sz w:val="17"/>
                <w:szCs w:val="17"/>
              </w:rPr>
            </w:pPr>
            <w:r>
              <w:rPr>
                <w:sz w:val="17"/>
                <w:szCs w:val="17"/>
              </w:rPr>
              <w:t>负责沟道水沙调控高效利用技术示范，“主要知识产权和标准规范”10完成人。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田堪良</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6</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无/教高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中国科学院水利部水土保持研究所</w:t>
            </w:r>
            <w:r>
              <w:rPr>
                <w:rFonts w:hint="eastAsia" w:ascii="Times New Roman"/>
                <w:sz w:val="17"/>
                <w:szCs w:val="17"/>
              </w:rPr>
              <w:t>/</w:t>
            </w:r>
            <w:r>
              <w:rPr>
                <w:rFonts w:ascii="Times New Roman"/>
                <w:sz w:val="17"/>
                <w:szCs w:val="17"/>
              </w:rPr>
              <w:t>中国科学院水利部水土保持研究所</w:t>
            </w:r>
          </w:p>
        </w:tc>
        <w:tc>
          <w:tcPr>
            <w:tcW w:w="3657" w:type="dxa"/>
            <w:vAlign w:val="center"/>
          </w:tcPr>
          <w:p>
            <w:pPr>
              <w:adjustRightInd w:val="0"/>
              <w:snapToGrid w:val="0"/>
              <w:ind w:firstLine="340" w:firstLineChars="200"/>
              <w:rPr>
                <w:sz w:val="17"/>
                <w:szCs w:val="17"/>
              </w:rPr>
            </w:pPr>
            <w:r>
              <w:rPr>
                <w:sz w:val="17"/>
                <w:szCs w:val="17"/>
              </w:rPr>
              <w:t>负责沟道边坡工程水沙调控技术研发与示范，“主要知识产权和标准规范”8主要完成人之一。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高哲</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7</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无/讲师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杨凌职业技术学院/西北农林科技大学</w:t>
            </w:r>
            <w:r>
              <w:rPr>
                <w:rFonts w:hint="eastAsia" w:ascii="Times New Roman"/>
                <w:sz w:val="17"/>
                <w:szCs w:val="17"/>
              </w:rPr>
              <w:t>，</w:t>
            </w:r>
          </w:p>
          <w:p>
            <w:pPr>
              <w:pStyle w:val="2"/>
              <w:adjustRightInd w:val="0"/>
              <w:snapToGrid w:val="0"/>
              <w:spacing w:line="240" w:lineRule="auto"/>
              <w:ind w:firstLine="0" w:firstLineChars="0"/>
              <w:jc w:val="center"/>
              <w:rPr>
                <w:rFonts w:ascii="Times New Roman"/>
                <w:sz w:val="17"/>
                <w:szCs w:val="17"/>
              </w:rPr>
            </w:pPr>
            <w:r>
              <w:rPr>
                <w:rFonts w:hint="eastAsia" w:ascii="Times New Roman"/>
                <w:sz w:val="17"/>
                <w:szCs w:val="17"/>
              </w:rPr>
              <w:t>杨凌职业技术学院</w:t>
            </w:r>
          </w:p>
        </w:tc>
        <w:tc>
          <w:tcPr>
            <w:tcW w:w="3657" w:type="dxa"/>
            <w:vAlign w:val="center"/>
          </w:tcPr>
          <w:p>
            <w:pPr>
              <w:adjustRightInd w:val="0"/>
              <w:snapToGrid w:val="0"/>
              <w:ind w:firstLine="340" w:firstLineChars="200"/>
              <w:rPr>
                <w:sz w:val="17"/>
                <w:szCs w:val="17"/>
              </w:rPr>
            </w:pPr>
            <w:r>
              <w:rPr>
                <w:sz w:val="17"/>
                <w:szCs w:val="17"/>
              </w:rPr>
              <w:t>负责水沙径流调控利用相关实验，发明了雨水智能收集系统、沟道土地整治风险管控计算方法，是“主要知识产权和标准规范”1、2、7、10完成人之一。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韩剑桥</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8</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副主任/副研究员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adjustRightInd w:val="0"/>
              <w:snapToGrid w:val="0"/>
              <w:ind w:firstLine="340" w:firstLineChars="200"/>
              <w:rPr>
                <w:sz w:val="17"/>
                <w:szCs w:val="17"/>
              </w:rPr>
            </w:pPr>
            <w:r>
              <w:rPr>
                <w:sz w:val="17"/>
                <w:szCs w:val="17"/>
              </w:rPr>
              <w:t>负责水沙径流调控利用，“主要知识产权和标准规范”2、9、10完成人之一。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朱德兰</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9</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无/教授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adjustRightInd w:val="0"/>
              <w:snapToGrid w:val="0"/>
              <w:ind w:firstLine="340" w:firstLineChars="200"/>
              <w:rPr>
                <w:sz w:val="17"/>
                <w:szCs w:val="17"/>
              </w:rPr>
            </w:pPr>
            <w:r>
              <w:rPr>
                <w:sz w:val="17"/>
                <w:szCs w:val="17"/>
              </w:rPr>
              <w:t>负责径流存贮装置研发，在调控装置开发和利用方面取得成果，是“主要知识产权和标准规范”4主要完成人之一。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范兴科</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10</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国家节水灌溉杨凌工程技术研究中心</w:t>
            </w:r>
            <w:r>
              <w:rPr>
                <w:rFonts w:hint="eastAsia" w:ascii="Times New Roman"/>
                <w:sz w:val="17"/>
                <w:szCs w:val="17"/>
              </w:rPr>
              <w:t>/</w:t>
            </w:r>
            <w:r>
              <w:rPr>
                <w:rFonts w:ascii="Times New Roman"/>
                <w:sz w:val="17"/>
                <w:szCs w:val="17"/>
              </w:rPr>
              <w:t>国家节水灌溉杨凌工程技术研究中心</w:t>
            </w:r>
          </w:p>
        </w:tc>
        <w:tc>
          <w:tcPr>
            <w:tcW w:w="3657" w:type="dxa"/>
            <w:vAlign w:val="center"/>
          </w:tcPr>
          <w:p>
            <w:pPr>
              <w:adjustRightInd w:val="0"/>
              <w:snapToGrid w:val="0"/>
              <w:ind w:firstLine="340" w:firstLineChars="200"/>
              <w:rPr>
                <w:sz w:val="17"/>
                <w:szCs w:val="17"/>
              </w:rPr>
            </w:pPr>
            <w:r>
              <w:rPr>
                <w:sz w:val="17"/>
                <w:szCs w:val="17"/>
              </w:rPr>
              <w:t>研究提出了山地果园矮化苹果的水肥一体化节水灌溉制度，同时开展了果园水肥高效利用技术示范。“主要知识产权和标准规范”6主要完成人。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张根广</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11</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adjustRightInd w:val="0"/>
              <w:snapToGrid w:val="0"/>
              <w:ind w:firstLine="340" w:firstLineChars="200"/>
              <w:rPr>
                <w:sz w:val="17"/>
                <w:szCs w:val="17"/>
              </w:rPr>
            </w:pPr>
            <w:r>
              <w:rPr>
                <w:sz w:val="17"/>
                <w:szCs w:val="17"/>
              </w:rPr>
              <w:t>负责水沙径流调控利用相关实验，“主要知识产权和标准规范”2、10主要完成人之一。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赵春红</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12</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hint="eastAsia" w:ascii="Times New Roman"/>
                <w:sz w:val="17"/>
                <w:szCs w:val="17"/>
              </w:rPr>
              <w:t>标准定额处</w:t>
            </w:r>
            <w:r>
              <w:rPr>
                <w:rFonts w:ascii="Times New Roman"/>
                <w:sz w:val="17"/>
                <w:szCs w:val="17"/>
              </w:rPr>
              <w:t>处长/高级工程师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水利部节约用水促进中心/西北农林科技大学</w:t>
            </w:r>
          </w:p>
        </w:tc>
        <w:tc>
          <w:tcPr>
            <w:tcW w:w="3657" w:type="dxa"/>
            <w:vAlign w:val="center"/>
          </w:tcPr>
          <w:p>
            <w:pPr>
              <w:adjustRightInd w:val="0"/>
              <w:snapToGrid w:val="0"/>
              <w:ind w:firstLine="340" w:firstLineChars="200"/>
              <w:rPr>
                <w:sz w:val="17"/>
                <w:szCs w:val="17"/>
              </w:rPr>
            </w:pPr>
            <w:r>
              <w:rPr>
                <w:sz w:val="17"/>
                <w:szCs w:val="17"/>
              </w:rPr>
              <w:t>协助完成项目申请，研究了植被根、茎、冠等对黄土丘陵区坡地水沙调控和侵蚀灾害防治的时空贡献，探明了植物对坡地降雨径流侵蚀的消减动力与阻控作用机制。“主要知识产权和标准规范”第7完成人之一。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张星辰</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13</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无/高级工程师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中国电建集团西北勘测设计研究院有限公司/中国科学院水利部水土保持研究所</w:t>
            </w:r>
          </w:p>
        </w:tc>
        <w:tc>
          <w:tcPr>
            <w:tcW w:w="3657" w:type="dxa"/>
            <w:vAlign w:val="center"/>
          </w:tcPr>
          <w:p>
            <w:pPr>
              <w:adjustRightInd w:val="0"/>
              <w:snapToGrid w:val="0"/>
              <w:ind w:firstLine="340" w:firstLineChars="200"/>
              <w:rPr>
                <w:sz w:val="17"/>
                <w:szCs w:val="17"/>
              </w:rPr>
            </w:pPr>
            <w:r>
              <w:rPr>
                <w:sz w:val="17"/>
                <w:szCs w:val="17"/>
              </w:rPr>
              <w:t>协助完成项目申请，协助开发“纳米土壤固化剂”“主要知识产权和标准规范”第1、2、9、10完成人之一。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李兴华</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14</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无/讲师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延安大学/西北农林科技大学</w:t>
            </w:r>
          </w:p>
        </w:tc>
        <w:tc>
          <w:tcPr>
            <w:tcW w:w="3657" w:type="dxa"/>
            <w:vAlign w:val="center"/>
          </w:tcPr>
          <w:p>
            <w:pPr>
              <w:adjustRightInd w:val="0"/>
              <w:snapToGrid w:val="0"/>
              <w:ind w:firstLine="340" w:firstLineChars="200"/>
              <w:rPr>
                <w:sz w:val="17"/>
                <w:szCs w:val="17"/>
              </w:rPr>
            </w:pPr>
            <w:r>
              <w:rPr>
                <w:sz w:val="17"/>
                <w:szCs w:val="17"/>
              </w:rPr>
              <w:t>协助完成项目申请，研究了“双紊动源”条件下的产汇流规律。“主要知识产权和标准规范”第2、9、10的完成人之一。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龙韶博</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15</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无/工程师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陕西省林业科学院/西北农林科技大学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协助完成项目申请，研究了沟道土地整治的水沙调控作用。“主要知识产权和标准规范”第7、10的完成人之一。</w:t>
            </w:r>
          </w:p>
        </w:tc>
      </w:tr>
    </w:tbl>
    <w:p>
      <w:pPr>
        <w:pStyle w:val="2"/>
        <w:ind w:firstLine="0" w:firstLineChars="0"/>
        <w:jc w:val="left"/>
        <w:rPr>
          <w:rFonts w:ascii="Times New Roman" w:eastAsia="黑体"/>
          <w:b/>
        </w:rPr>
      </w:pPr>
    </w:p>
    <w:p>
      <w:pPr>
        <w:pStyle w:val="2"/>
        <w:ind w:firstLine="0" w:firstLineChars="0"/>
        <w:jc w:val="left"/>
        <w:rPr>
          <w:rFonts w:ascii="Times New Roman" w:eastAsia="黑体"/>
          <w:b/>
        </w:rPr>
      </w:pPr>
      <w:r>
        <w:rPr>
          <w:rFonts w:ascii="Times New Roman" w:eastAsia="黑体"/>
          <w:b/>
        </w:rPr>
        <w:t>八、主要完成单位情况及创新推广贡献</w:t>
      </w:r>
    </w:p>
    <w:tbl>
      <w:tblPr>
        <w:tblStyle w:val="5"/>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28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8"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单位名称</w:t>
            </w:r>
          </w:p>
        </w:tc>
        <w:tc>
          <w:tcPr>
            <w:tcW w:w="1286"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排名</w:t>
            </w:r>
          </w:p>
        </w:tc>
        <w:tc>
          <w:tcPr>
            <w:tcW w:w="5528"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西北农林科技大学</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1</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西北农林科技大学作为项目第一完成单位，在申请立项、研发条件、配套资金、实践基地、成果验收、推广和应用过程中，发挥了重要的组织协调、管理和落实作用，保证了项目任务顺利实施。主要体现在：</w:t>
            </w:r>
          </w:p>
          <w:p>
            <w:pPr>
              <w:pStyle w:val="2"/>
              <w:adjustRightInd w:val="0"/>
              <w:snapToGrid w:val="0"/>
              <w:spacing w:line="240" w:lineRule="auto"/>
              <w:ind w:firstLine="360"/>
              <w:rPr>
                <w:rFonts w:ascii="Times New Roman"/>
                <w:sz w:val="18"/>
                <w:szCs w:val="18"/>
              </w:rPr>
            </w:pPr>
            <w:r>
              <w:rPr>
                <w:rFonts w:ascii="Times New Roman"/>
                <w:sz w:val="18"/>
                <w:szCs w:val="18"/>
              </w:rPr>
              <w:t>（1）主要支持项目组开展了该项目依托的国家科技支撑计划课题“黄土丘陵沟壑区水土保持与高效农业技术集成和示范”（2011BAD31B05）实施；</w:t>
            </w:r>
          </w:p>
          <w:p>
            <w:pPr>
              <w:pStyle w:val="2"/>
              <w:adjustRightInd w:val="0"/>
              <w:snapToGrid w:val="0"/>
              <w:spacing w:line="240" w:lineRule="auto"/>
              <w:ind w:firstLine="360"/>
              <w:rPr>
                <w:rFonts w:ascii="Times New Roman"/>
                <w:sz w:val="18"/>
                <w:szCs w:val="18"/>
              </w:rPr>
            </w:pPr>
            <w:r>
              <w:rPr>
                <w:rFonts w:ascii="Times New Roman"/>
                <w:sz w:val="18"/>
                <w:szCs w:val="18"/>
              </w:rPr>
              <w:t>（2）特别是支持项目组派出人员，与美国农业部水质研究所合作开发世界著名水文模型SWAT的梯田模块，并使其在全世界进行测试应用，相关人员获得美国农业部SWAT开发突出贡献奖；</w:t>
            </w:r>
          </w:p>
          <w:p>
            <w:pPr>
              <w:pStyle w:val="2"/>
              <w:adjustRightInd w:val="0"/>
              <w:snapToGrid w:val="0"/>
              <w:spacing w:line="240" w:lineRule="auto"/>
              <w:ind w:firstLine="360"/>
              <w:rPr>
                <w:rFonts w:ascii="Times New Roman"/>
                <w:sz w:val="18"/>
                <w:szCs w:val="18"/>
              </w:rPr>
            </w:pPr>
            <w:r>
              <w:rPr>
                <w:rFonts w:ascii="Times New Roman"/>
                <w:sz w:val="18"/>
                <w:szCs w:val="18"/>
              </w:rPr>
              <w:t>（3）在创新水沙调控技术模式及相关技术体系的试验示范和技术推广过程中，以学校在延安南沟、安塞水土保持试验站为依托，给予重点支持；组织实施了黄土高原水沙调控关键技术及体系的示范应用和推广，为陕北“脱贫攻坚”做出重大贡献，受到当地群众和政府的欢迎，为陕北发展“山地苹果”和陕西省苹果发展“西扩北进”政策制定做出贡献。为2023年习近平总书记、2008年时任中共中央总书记胡锦涛，2009年水利部部长及2015年荷兰国王威廉·亚历山大对该项目示范基地的考察提供支持，产生巨大的世界影响。同时培养了大批研究生和青年人才，直接和间接提升了我国在这一领域的研究水平，推动和促进了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中国科学院水利部水土保持研究所</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2</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作为项目第二完成单位，在申请立项、研发条件、配套资金、试验基地、成果验收、推广和应用过程中，发挥了重要的组织协调、管理和落实作用，保证了项目任务顺利实施。</w:t>
            </w:r>
          </w:p>
          <w:p>
            <w:pPr>
              <w:pStyle w:val="2"/>
              <w:adjustRightInd w:val="0"/>
              <w:snapToGrid w:val="0"/>
              <w:spacing w:line="240" w:lineRule="auto"/>
              <w:ind w:firstLine="360"/>
              <w:rPr>
                <w:rFonts w:ascii="Times New Roman"/>
                <w:sz w:val="18"/>
                <w:szCs w:val="18"/>
              </w:rPr>
            </w:pPr>
            <w:r>
              <w:rPr>
                <w:rFonts w:ascii="Times New Roman"/>
                <w:sz w:val="18"/>
                <w:szCs w:val="18"/>
              </w:rPr>
              <w:t>（1）组织实施了第一完成人主持的该项目支撑课题：十一五国家支撑计划项目“坡面降雨径流调控与高效利用技术研究”（2006BAD09 B01），在径流调控新材料、新形式、新装置及优化技术方面取得重要成果，推动了2022年习近平总书记、2008年时任总书记胡锦涛，2009年水利部部长陈雷对延安方塔试验基地的考察。</w:t>
            </w:r>
          </w:p>
          <w:p>
            <w:pPr>
              <w:pStyle w:val="2"/>
              <w:adjustRightInd w:val="0"/>
              <w:snapToGrid w:val="0"/>
              <w:spacing w:line="240" w:lineRule="auto"/>
              <w:ind w:firstLine="360"/>
              <w:rPr>
                <w:rFonts w:ascii="Times New Roman"/>
                <w:sz w:val="18"/>
                <w:szCs w:val="18"/>
              </w:rPr>
            </w:pPr>
            <w:r>
              <w:rPr>
                <w:rFonts w:ascii="Times New Roman"/>
                <w:sz w:val="18"/>
                <w:szCs w:val="18"/>
              </w:rPr>
              <w:t>（2）参与了2015年10月27日，荷兰国王·威廉亚历山大对试验示范基地安塞方塔山地苹果园的考察的联系及协调组织任务。同时培养了大批研究生和青年人才，直接和间接提升了我国在这一领域的研究水平，推动和促进了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国家节水灌溉杨凌工程技术研究中心</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3</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三完成单位，通过研发条件、试验基地、水沙调控材料、装置及措施优化等方面给予大力支持，保证了项目任务顺利实施。主要支持项目组在杨凌节水博览园开展了“一种坡地高效农业用水滤清系统的制备方法”、“土壤固化剂水沙调控材料和装置”“橡塑水窖”及“流域实体模拟技术”等的研发和集成示范。组织实施了不同技术体系在全国的应用和推广，直接和间接提升了我国在这一领域的研究水平，推动和促进了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陕西省土地工程建设集团有限责任公司</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4</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作为项目第四完成单位，主要支持了第一完成人和第五完成人负责沟道水沙调控高效利用相关技术示范和“主要知识产权和标准规范”10编制工作。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杨凌职业技术学院</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5</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作为项目第五完成单位，主要支持了知识产权7</w:t>
            </w:r>
            <w:r>
              <w:rPr>
                <w:rFonts w:hint="eastAsia" w:ascii="Times New Roman"/>
                <w:sz w:val="18"/>
                <w:szCs w:val="18"/>
              </w:rPr>
              <w:t>的后期修改、知识产权</w:t>
            </w:r>
            <w:r>
              <w:rPr>
                <w:rFonts w:ascii="Times New Roman"/>
                <w:sz w:val="18"/>
                <w:szCs w:val="18"/>
              </w:rPr>
              <w:t>10的编制</w:t>
            </w:r>
            <w:r>
              <w:rPr>
                <w:rFonts w:hint="eastAsia" w:ascii="Times New Roman"/>
                <w:sz w:val="18"/>
                <w:szCs w:val="18"/>
              </w:rPr>
              <w:t>、沟道梯级土地整治工程暴雨洪水安全风险评估方法和雨水智能收集系统等</w:t>
            </w:r>
            <w:r>
              <w:rPr>
                <w:rFonts w:ascii="Times New Roman"/>
                <w:sz w:val="18"/>
                <w:szCs w:val="18"/>
              </w:rPr>
              <w:t>相关水沙调控</w:t>
            </w:r>
            <w:r>
              <w:rPr>
                <w:rFonts w:hint="eastAsia" w:ascii="Times New Roman"/>
                <w:sz w:val="18"/>
                <w:szCs w:val="18"/>
              </w:rPr>
              <w:t>技术的应用及示范工作</w:t>
            </w:r>
            <w:r>
              <w:rPr>
                <w:rFonts w:ascii="Times New Roman"/>
                <w:sz w:val="18"/>
                <w:szCs w:val="18"/>
              </w:rPr>
              <w:t>。</w:t>
            </w:r>
          </w:p>
        </w:tc>
      </w:tr>
    </w:tbl>
    <w:p>
      <w:pPr>
        <w:pStyle w:val="2"/>
        <w:ind w:firstLine="0" w:firstLineChars="0"/>
        <w:jc w:val="left"/>
        <w:rPr>
          <w:rFonts w:ascii="Times New Roman" w:eastAsia="黑体"/>
          <w:b/>
        </w:rPr>
      </w:pPr>
      <w:r>
        <w:rPr>
          <w:rFonts w:ascii="Times New Roman" w:eastAsia="黑体"/>
          <w:b/>
        </w:rPr>
        <w:t>九、完成人合作关系情况</w:t>
      </w:r>
    </w:p>
    <w:tbl>
      <w:tblPr>
        <w:tblStyle w:val="5"/>
        <w:tblW w:w="89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67"/>
        <w:gridCol w:w="1103"/>
        <w:gridCol w:w="1764"/>
        <w:gridCol w:w="1694"/>
        <w:gridCol w:w="1356"/>
        <w:gridCol w:w="24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99" w:type="dxa"/>
            <w:gridSpan w:val="6"/>
            <w:vAlign w:val="center"/>
          </w:tcPr>
          <w:p>
            <w:pPr>
              <w:pStyle w:val="2"/>
              <w:adjustRightInd w:val="0"/>
              <w:snapToGrid w:val="0"/>
              <w:spacing w:line="240" w:lineRule="auto"/>
              <w:ind w:firstLine="0" w:firstLineChars="0"/>
              <w:jc w:val="left"/>
              <w:rPr>
                <w:rFonts w:ascii="Times New Roman"/>
                <w:b/>
                <w:sz w:val="18"/>
                <w:szCs w:val="18"/>
              </w:rPr>
            </w:pPr>
            <w:r>
              <w:rPr>
                <w:rFonts w:ascii="Times New Roman"/>
                <w:b/>
                <w:sz w:val="18"/>
                <w:szCs w:val="18"/>
              </w:rPr>
              <w:t>完成人合作关系情况表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序号</w:t>
            </w:r>
          </w:p>
        </w:tc>
        <w:tc>
          <w:tcPr>
            <w:tcW w:w="1103"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合作方式</w:t>
            </w:r>
          </w:p>
        </w:tc>
        <w:tc>
          <w:tcPr>
            <w:tcW w:w="1764"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合作者/项目排名</w:t>
            </w:r>
          </w:p>
        </w:tc>
        <w:tc>
          <w:tcPr>
            <w:tcW w:w="1694"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合作时间</w:t>
            </w:r>
          </w:p>
        </w:tc>
        <w:tc>
          <w:tcPr>
            <w:tcW w:w="1356"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合作成果</w:t>
            </w:r>
          </w:p>
        </w:tc>
        <w:tc>
          <w:tcPr>
            <w:tcW w:w="2415"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1</w:t>
            </w:r>
          </w:p>
        </w:tc>
        <w:tc>
          <w:tcPr>
            <w:tcW w:w="1103"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Cs/>
                <w:sz w:val="18"/>
                <w:szCs w:val="18"/>
              </w:rPr>
              <w:t>共同立项</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罗林涛/5</w:t>
            </w:r>
          </w:p>
          <w:p>
            <w:pPr>
              <w:adjustRightInd w:val="0"/>
              <w:snapToGrid w:val="0"/>
              <w:jc w:val="center"/>
              <w:rPr>
                <w:bCs/>
                <w:color w:val="000000"/>
                <w:sz w:val="18"/>
                <w:szCs w:val="18"/>
              </w:rPr>
            </w:pPr>
            <w:r>
              <w:rPr>
                <w:bCs/>
                <w:color w:val="000000"/>
                <w:sz w:val="18"/>
                <w:szCs w:val="18"/>
              </w:rPr>
              <w:t>田堪良/6</w:t>
            </w:r>
          </w:p>
          <w:p>
            <w:pPr>
              <w:adjustRightInd w:val="0"/>
              <w:snapToGrid w:val="0"/>
              <w:jc w:val="center"/>
              <w:rPr>
                <w:bCs/>
                <w:color w:val="000000"/>
                <w:sz w:val="18"/>
                <w:szCs w:val="18"/>
              </w:rPr>
            </w:pPr>
            <w:r>
              <w:rPr>
                <w:bCs/>
                <w:color w:val="000000"/>
                <w:sz w:val="18"/>
                <w:szCs w:val="18"/>
              </w:rPr>
              <w:t>张根广/11</w:t>
            </w:r>
          </w:p>
          <w:p>
            <w:pPr>
              <w:adjustRightInd w:val="0"/>
              <w:snapToGrid w:val="0"/>
              <w:jc w:val="center"/>
              <w:rPr>
                <w:bCs/>
                <w:color w:val="000000"/>
                <w:sz w:val="18"/>
                <w:szCs w:val="18"/>
              </w:rPr>
            </w:pPr>
            <w:r>
              <w:rPr>
                <w:bCs/>
                <w:color w:val="000000"/>
                <w:sz w:val="18"/>
                <w:szCs w:val="18"/>
              </w:rPr>
              <w:t>赵春红/12</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sz w:val="18"/>
                <w:szCs w:val="18"/>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2005-01-01~</w:t>
            </w:r>
          </w:p>
          <w:p>
            <w:pPr>
              <w:pStyle w:val="2"/>
              <w:adjustRightInd w:val="0"/>
              <w:snapToGrid w:val="0"/>
              <w:spacing w:line="240" w:lineRule="auto"/>
              <w:ind w:firstLine="0" w:firstLineChars="0"/>
              <w:jc w:val="center"/>
              <w:rPr>
                <w:rFonts w:ascii="Times New Roman"/>
                <w:b/>
                <w:sz w:val="18"/>
                <w:szCs w:val="18"/>
              </w:rPr>
            </w:pPr>
            <w:r>
              <w:rPr>
                <w:rFonts w:ascii="Times New Roman"/>
                <w:bCs/>
                <w:sz w:val="18"/>
                <w:szCs w:val="18"/>
              </w:rPr>
              <w:t>2023-12-31</w:t>
            </w:r>
          </w:p>
        </w:tc>
        <w:tc>
          <w:tcPr>
            <w:tcW w:w="1356"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Cs/>
                <w:color w:val="000000"/>
                <w:sz w:val="18"/>
                <w:szCs w:val="18"/>
              </w:rPr>
              <w:t>批准的国家科技支撑、国家自然科学基金、国家重点研发项目、课题及子课题。</w:t>
            </w:r>
          </w:p>
        </w:tc>
        <w:tc>
          <w:tcPr>
            <w:tcW w:w="2415" w:type="dxa"/>
            <w:vAlign w:val="center"/>
          </w:tcPr>
          <w:p>
            <w:pPr>
              <w:adjustRightInd w:val="0"/>
              <w:snapToGrid w:val="0"/>
              <w:jc w:val="center"/>
              <w:rPr>
                <w:bCs/>
                <w:color w:val="000000"/>
                <w:sz w:val="18"/>
                <w:szCs w:val="18"/>
              </w:rPr>
            </w:pPr>
            <w:r>
              <w:rPr>
                <w:bCs/>
                <w:color w:val="000000"/>
                <w:sz w:val="18"/>
                <w:szCs w:val="18"/>
              </w:rPr>
              <w:t>见国家支撑课题2006BAD09B01</w:t>
            </w:r>
          </w:p>
          <w:p>
            <w:pPr>
              <w:adjustRightInd w:val="0"/>
              <w:snapToGrid w:val="0"/>
              <w:jc w:val="center"/>
              <w:rPr>
                <w:bCs/>
                <w:color w:val="000000"/>
                <w:sz w:val="18"/>
                <w:szCs w:val="18"/>
              </w:rPr>
            </w:pPr>
            <w:r>
              <w:rPr>
                <w:bCs/>
                <w:color w:val="000000"/>
                <w:sz w:val="18"/>
                <w:szCs w:val="18"/>
              </w:rPr>
              <w:t>2011BAD31B05</w:t>
            </w:r>
          </w:p>
          <w:p>
            <w:pPr>
              <w:adjustRightInd w:val="0"/>
              <w:snapToGrid w:val="0"/>
              <w:jc w:val="center"/>
              <w:rPr>
                <w:bCs/>
                <w:color w:val="000000"/>
                <w:sz w:val="18"/>
                <w:szCs w:val="18"/>
              </w:rPr>
            </w:pPr>
            <w:r>
              <w:rPr>
                <w:bCs/>
                <w:color w:val="000000"/>
                <w:sz w:val="18"/>
                <w:szCs w:val="18"/>
              </w:rPr>
              <w:t>2017YFC0504700</w:t>
            </w:r>
          </w:p>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(2017YFC0504703</w:t>
            </w:r>
          </w:p>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2017YFC0504705) 2021YFD190070402</w:t>
            </w:r>
          </w:p>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等项目课题</w:t>
            </w:r>
            <w:r>
              <w:rPr>
                <w:rFonts w:hint="eastAsia" w:ascii="Times New Roman"/>
                <w:bCs/>
                <w:color w:val="000000"/>
                <w:sz w:val="18"/>
                <w:szCs w:val="18"/>
              </w:rPr>
              <w:t>及</w:t>
            </w:r>
            <w:r>
              <w:rPr>
                <w:rFonts w:ascii="Times New Roman"/>
                <w:bCs/>
                <w:color w:val="000000"/>
                <w:sz w:val="18"/>
                <w:szCs w:val="18"/>
              </w:rPr>
              <w:t>任务书。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color w:val="000000"/>
                <w:sz w:val="18"/>
                <w:szCs w:val="18"/>
              </w:rPr>
              <w:t>2</w:t>
            </w:r>
          </w:p>
        </w:tc>
        <w:tc>
          <w:tcPr>
            <w:tcW w:w="1103" w:type="dxa"/>
            <w:vAlign w:val="center"/>
          </w:tcPr>
          <w:p>
            <w:pPr>
              <w:pStyle w:val="2"/>
              <w:adjustRightInd w:val="0"/>
              <w:snapToGrid w:val="0"/>
              <w:spacing w:line="240" w:lineRule="auto"/>
              <w:ind w:firstLine="0" w:firstLineChars="0"/>
              <w:jc w:val="left"/>
              <w:rPr>
                <w:rFonts w:ascii="Times New Roman"/>
                <w:b/>
              </w:rPr>
            </w:pPr>
            <w:r>
              <w:rPr>
                <w:rFonts w:ascii="Times New Roman"/>
                <w:bCs/>
                <w:color w:val="000000"/>
                <w:sz w:val="18"/>
                <w:szCs w:val="18"/>
              </w:rPr>
              <w:t>规范合著</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罗林涛/5</w:t>
            </w:r>
          </w:p>
          <w:p>
            <w:pPr>
              <w:adjustRightInd w:val="0"/>
              <w:snapToGrid w:val="0"/>
              <w:jc w:val="center"/>
              <w:rPr>
                <w:bCs/>
                <w:color w:val="000000"/>
                <w:sz w:val="18"/>
                <w:szCs w:val="18"/>
              </w:rPr>
            </w:pPr>
            <w:r>
              <w:rPr>
                <w:bCs/>
                <w:color w:val="000000"/>
                <w:sz w:val="18"/>
                <w:szCs w:val="18"/>
              </w:rPr>
              <w:t>田堪良/6</w:t>
            </w:r>
          </w:p>
          <w:p>
            <w:pPr>
              <w:adjustRightInd w:val="0"/>
              <w:snapToGrid w:val="0"/>
              <w:jc w:val="center"/>
              <w:rPr>
                <w:bCs/>
                <w:color w:val="000000"/>
                <w:sz w:val="18"/>
                <w:szCs w:val="18"/>
              </w:rPr>
            </w:pPr>
            <w:r>
              <w:rPr>
                <w:bCs/>
                <w:color w:val="000000"/>
                <w:sz w:val="18"/>
                <w:szCs w:val="18"/>
              </w:rPr>
              <w:t>高哲/7</w:t>
            </w:r>
          </w:p>
          <w:p>
            <w:pPr>
              <w:adjustRightInd w:val="0"/>
              <w:snapToGrid w:val="0"/>
              <w:jc w:val="center"/>
              <w:rPr>
                <w:bCs/>
                <w:color w:val="000000"/>
                <w:sz w:val="18"/>
                <w:szCs w:val="18"/>
              </w:rPr>
            </w:pPr>
            <w:r>
              <w:rPr>
                <w:bCs/>
                <w:color w:val="000000"/>
                <w:sz w:val="18"/>
                <w:szCs w:val="18"/>
              </w:rPr>
              <w:t>韩剑桥/8</w:t>
            </w:r>
          </w:p>
          <w:p>
            <w:pPr>
              <w:adjustRightInd w:val="0"/>
              <w:snapToGrid w:val="0"/>
              <w:jc w:val="center"/>
              <w:rPr>
                <w:bCs/>
                <w:color w:val="000000"/>
                <w:sz w:val="18"/>
                <w:szCs w:val="18"/>
              </w:rPr>
            </w:pPr>
            <w:r>
              <w:rPr>
                <w:bCs/>
                <w:color w:val="000000"/>
                <w:sz w:val="18"/>
                <w:szCs w:val="18"/>
              </w:rPr>
              <w:t>张根广/11</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2011-01-01~</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0" w:firstLineChars="0"/>
              <w:jc w:val="left"/>
              <w:rPr>
                <w:rFonts w:ascii="Times New Roman"/>
                <w:b/>
              </w:rPr>
            </w:pPr>
            <w:r>
              <w:rPr>
                <w:rFonts w:ascii="Times New Roman"/>
                <w:bCs/>
                <w:color w:val="000000"/>
                <w:sz w:val="18"/>
                <w:szCs w:val="18"/>
              </w:rPr>
              <w:t>陕西省地方标准颁布与实施</w:t>
            </w:r>
          </w:p>
        </w:tc>
        <w:tc>
          <w:tcPr>
            <w:tcW w:w="2415" w:type="dxa"/>
            <w:vAlign w:val="center"/>
          </w:tcPr>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DB61/T1010-2016</w:t>
            </w:r>
          </w:p>
          <w:p>
            <w:pPr>
              <w:pStyle w:val="2"/>
              <w:adjustRightInd w:val="0"/>
              <w:snapToGrid w:val="0"/>
              <w:spacing w:line="240" w:lineRule="auto"/>
              <w:ind w:firstLine="0" w:firstLineChars="0"/>
              <w:jc w:val="center"/>
              <w:rPr>
                <w:rFonts w:ascii="Times New Roman"/>
                <w:b/>
              </w:rPr>
            </w:pPr>
            <w:r>
              <w:rPr>
                <w:rFonts w:ascii="Times New Roman"/>
                <w:bCs/>
                <w:color w:val="0D0D0D"/>
                <w:w w:val="90"/>
                <w:sz w:val="18"/>
                <w:szCs w:val="18"/>
              </w:rPr>
              <w:t>DB61/T1746-2023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3</w:t>
            </w:r>
          </w:p>
        </w:tc>
        <w:tc>
          <w:tcPr>
            <w:tcW w:w="1103" w:type="dxa"/>
            <w:vAlign w:val="center"/>
          </w:tcPr>
          <w:p>
            <w:pPr>
              <w:pStyle w:val="2"/>
              <w:adjustRightInd w:val="0"/>
              <w:snapToGrid w:val="0"/>
              <w:spacing w:line="240" w:lineRule="auto"/>
              <w:ind w:firstLine="0" w:firstLineChars="0"/>
              <w:jc w:val="center"/>
              <w:rPr>
                <w:rFonts w:ascii="Times New Roman"/>
                <w:b/>
              </w:rPr>
            </w:pPr>
            <w:r>
              <w:rPr>
                <w:rFonts w:ascii="Times New Roman"/>
                <w:bCs/>
                <w:sz w:val="18"/>
                <w:szCs w:val="18"/>
              </w:rPr>
              <w:t>共同知识产权</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罗林涛/5</w:t>
            </w:r>
          </w:p>
          <w:p>
            <w:pPr>
              <w:adjustRightInd w:val="0"/>
              <w:snapToGrid w:val="0"/>
              <w:jc w:val="center"/>
              <w:rPr>
                <w:bCs/>
                <w:color w:val="000000"/>
                <w:sz w:val="18"/>
                <w:szCs w:val="18"/>
              </w:rPr>
            </w:pPr>
            <w:r>
              <w:rPr>
                <w:bCs/>
                <w:color w:val="000000"/>
                <w:sz w:val="18"/>
                <w:szCs w:val="18"/>
              </w:rPr>
              <w:t>田堪良/6</w:t>
            </w:r>
          </w:p>
          <w:p>
            <w:pPr>
              <w:adjustRightInd w:val="0"/>
              <w:snapToGrid w:val="0"/>
              <w:jc w:val="center"/>
              <w:rPr>
                <w:bCs/>
                <w:color w:val="000000"/>
                <w:sz w:val="18"/>
                <w:szCs w:val="18"/>
              </w:rPr>
            </w:pPr>
            <w:r>
              <w:rPr>
                <w:bCs/>
                <w:color w:val="000000"/>
                <w:sz w:val="18"/>
                <w:szCs w:val="18"/>
              </w:rPr>
              <w:t>高哲/7</w:t>
            </w:r>
          </w:p>
          <w:p>
            <w:pPr>
              <w:adjustRightInd w:val="0"/>
              <w:snapToGrid w:val="0"/>
              <w:jc w:val="center"/>
              <w:rPr>
                <w:bCs/>
                <w:color w:val="000000"/>
                <w:sz w:val="18"/>
                <w:szCs w:val="18"/>
              </w:rPr>
            </w:pPr>
            <w:r>
              <w:rPr>
                <w:bCs/>
                <w:color w:val="000000"/>
                <w:sz w:val="18"/>
                <w:szCs w:val="18"/>
              </w:rPr>
              <w:t>张根广/11</w:t>
            </w:r>
          </w:p>
          <w:p>
            <w:pPr>
              <w:adjustRightInd w:val="0"/>
              <w:snapToGrid w:val="0"/>
              <w:jc w:val="center"/>
              <w:rPr>
                <w:bCs/>
                <w:color w:val="000000"/>
                <w:sz w:val="18"/>
                <w:szCs w:val="18"/>
              </w:rPr>
            </w:pPr>
            <w:r>
              <w:rPr>
                <w:bCs/>
                <w:color w:val="000000"/>
                <w:sz w:val="18"/>
                <w:szCs w:val="18"/>
              </w:rPr>
              <w:t>赵春红/12</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2006-01-01~</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360"/>
              <w:jc w:val="left"/>
              <w:rPr>
                <w:rFonts w:ascii="Times New Roman"/>
                <w:b/>
              </w:rPr>
            </w:pPr>
            <w:r>
              <w:rPr>
                <w:rFonts w:ascii="Times New Roman"/>
                <w:bCs/>
                <w:color w:val="000000"/>
                <w:sz w:val="18"/>
                <w:szCs w:val="18"/>
              </w:rPr>
              <w:t>授权</w:t>
            </w:r>
          </w:p>
        </w:tc>
        <w:tc>
          <w:tcPr>
            <w:tcW w:w="2415" w:type="dxa"/>
            <w:vAlign w:val="center"/>
          </w:tcPr>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ZL201410036089.7</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ZL20211067601.4</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ZL200410073273.5</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ZL200510096014.9</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ZL200710017797.6</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ZL201210149369.X</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 2023 2 1077926.1</w:t>
            </w:r>
          </w:p>
          <w:p>
            <w:pPr>
              <w:pStyle w:val="2"/>
              <w:adjustRightInd w:val="0"/>
              <w:snapToGrid w:val="0"/>
              <w:spacing w:line="240" w:lineRule="auto"/>
              <w:ind w:firstLine="0" w:firstLineChars="0"/>
              <w:jc w:val="center"/>
              <w:rPr>
                <w:rFonts w:ascii="Times New Roman"/>
                <w:b/>
              </w:rPr>
            </w:pPr>
            <w:r>
              <w:rPr>
                <w:rFonts w:ascii="Times New Roman"/>
                <w:bCs/>
                <w:color w:val="0D0D0D"/>
                <w:w w:val="90"/>
                <w:sz w:val="18"/>
                <w:szCs w:val="18"/>
              </w:rPr>
              <w:t>ZL201710507915.5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4</w:t>
            </w:r>
          </w:p>
        </w:tc>
        <w:tc>
          <w:tcPr>
            <w:tcW w:w="1103" w:type="dxa"/>
            <w:vAlign w:val="center"/>
          </w:tcPr>
          <w:p>
            <w:pPr>
              <w:pStyle w:val="2"/>
              <w:adjustRightInd w:val="0"/>
              <w:snapToGrid w:val="0"/>
              <w:spacing w:line="240" w:lineRule="auto"/>
              <w:ind w:firstLine="0" w:firstLineChars="0"/>
              <w:jc w:val="left"/>
              <w:rPr>
                <w:rFonts w:ascii="Times New Roman"/>
                <w:b/>
              </w:rPr>
            </w:pPr>
            <w:r>
              <w:rPr>
                <w:rFonts w:ascii="Times New Roman"/>
                <w:bCs/>
                <w:color w:val="000000"/>
                <w:sz w:val="18"/>
                <w:szCs w:val="18"/>
              </w:rPr>
              <w:t>共同获奖</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sz w:val="18"/>
                <w:szCs w:val="18"/>
              </w:rPr>
            </w:pPr>
            <w:r>
              <w:rPr>
                <w:bCs/>
                <w:sz w:val="18"/>
                <w:szCs w:val="18"/>
              </w:rPr>
              <w:t>高哲/7</w:t>
            </w:r>
          </w:p>
          <w:p>
            <w:pPr>
              <w:adjustRightInd w:val="0"/>
              <w:snapToGrid w:val="0"/>
              <w:jc w:val="center"/>
              <w:rPr>
                <w:bCs/>
                <w:sz w:val="18"/>
                <w:szCs w:val="18"/>
              </w:rPr>
            </w:pPr>
            <w:r>
              <w:rPr>
                <w:bCs/>
                <w:sz w:val="18"/>
                <w:szCs w:val="18"/>
              </w:rPr>
              <w:t>朱德兰/9</w:t>
            </w:r>
          </w:p>
          <w:p>
            <w:pPr>
              <w:adjustRightInd w:val="0"/>
              <w:snapToGrid w:val="0"/>
              <w:jc w:val="center"/>
              <w:rPr>
                <w:bCs/>
                <w:color w:val="000000"/>
                <w:sz w:val="18"/>
                <w:szCs w:val="18"/>
              </w:rPr>
            </w:pPr>
            <w:r>
              <w:rPr>
                <w:bCs/>
                <w:color w:val="000000"/>
                <w:sz w:val="18"/>
                <w:szCs w:val="18"/>
              </w:rPr>
              <w:t>范兴科/10</w:t>
            </w:r>
          </w:p>
          <w:p>
            <w:pPr>
              <w:adjustRightInd w:val="0"/>
              <w:snapToGrid w:val="0"/>
              <w:jc w:val="center"/>
              <w:rPr>
                <w:bCs/>
                <w:sz w:val="18"/>
                <w:szCs w:val="18"/>
              </w:rPr>
            </w:pPr>
            <w:r>
              <w:rPr>
                <w:bCs/>
                <w:sz w:val="18"/>
                <w:szCs w:val="18"/>
              </w:rPr>
              <w:t>赵春红/12</w:t>
            </w:r>
          </w:p>
          <w:p>
            <w:pPr>
              <w:adjustRightInd w:val="0"/>
              <w:snapToGrid w:val="0"/>
              <w:jc w:val="center"/>
              <w:rPr>
                <w:bCs/>
                <w:sz w:val="18"/>
                <w:szCs w:val="18"/>
              </w:rPr>
            </w:pPr>
            <w:r>
              <w:rPr>
                <w:bCs/>
                <w:sz w:val="18"/>
                <w:szCs w:val="18"/>
              </w:rPr>
              <w:t>张星辰/13</w:t>
            </w:r>
          </w:p>
          <w:p>
            <w:pPr>
              <w:pStyle w:val="2"/>
              <w:adjustRightInd w:val="0"/>
              <w:snapToGrid w:val="0"/>
              <w:spacing w:line="240" w:lineRule="auto"/>
              <w:ind w:firstLine="0" w:firstLineChars="0"/>
              <w:jc w:val="center"/>
              <w:rPr>
                <w:rFonts w:ascii="Times New Roman"/>
                <w:b/>
              </w:rPr>
            </w:pPr>
            <w:r>
              <w:rPr>
                <w:rFonts w:ascii="Times New Roman"/>
                <w:bCs/>
                <w:sz w:val="18"/>
                <w:szCs w:val="18"/>
              </w:rPr>
              <w:t>李兴华/14</w:t>
            </w:r>
          </w:p>
        </w:tc>
        <w:tc>
          <w:tcPr>
            <w:tcW w:w="1694" w:type="dxa"/>
            <w:vAlign w:val="center"/>
          </w:tcPr>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2001-01-01~</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国家科技进步二等奖；第13届水土保持学会科学技术一等奖</w:t>
            </w:r>
          </w:p>
        </w:tc>
        <w:tc>
          <w:tcPr>
            <w:tcW w:w="2415" w:type="dxa"/>
            <w:vAlign w:val="center"/>
          </w:tcPr>
          <w:p>
            <w:pPr>
              <w:adjustRightInd w:val="0"/>
              <w:snapToGrid w:val="0"/>
              <w:ind w:firstLine="360" w:firstLineChars="200"/>
              <w:rPr>
                <w:bCs/>
                <w:color w:val="000000"/>
                <w:sz w:val="18"/>
                <w:szCs w:val="18"/>
              </w:rPr>
            </w:pPr>
            <w:r>
              <w:rPr>
                <w:bCs/>
                <w:color w:val="000000"/>
                <w:sz w:val="18"/>
                <w:szCs w:val="18"/>
              </w:rPr>
              <w:t>共同完成的</w:t>
            </w:r>
            <w:r>
              <w:rPr>
                <w:rFonts w:hint="eastAsia"/>
                <w:bCs/>
                <w:color w:val="000000"/>
                <w:sz w:val="18"/>
                <w:szCs w:val="18"/>
              </w:rPr>
              <w:t>“</w:t>
            </w:r>
            <w:r>
              <w:rPr>
                <w:bCs/>
                <w:color w:val="000000"/>
                <w:sz w:val="18"/>
                <w:szCs w:val="18"/>
              </w:rPr>
              <w:t>西北地区农业高效用水技术与示范</w:t>
            </w:r>
            <w:r>
              <w:rPr>
                <w:rFonts w:hint="eastAsia"/>
                <w:bCs/>
                <w:color w:val="000000"/>
                <w:sz w:val="18"/>
                <w:szCs w:val="18"/>
              </w:rPr>
              <w:t>”</w:t>
            </w:r>
            <w:r>
              <w:rPr>
                <w:bCs/>
                <w:color w:val="000000"/>
                <w:sz w:val="18"/>
                <w:szCs w:val="18"/>
              </w:rPr>
              <w:t>，2005年获国家科技进步二等奖</w:t>
            </w:r>
            <w:r>
              <w:rPr>
                <w:rFonts w:hint="eastAsia"/>
                <w:bCs/>
                <w:color w:val="000000"/>
                <w:sz w:val="18"/>
                <w:szCs w:val="18"/>
              </w:rPr>
              <w:t>，</w:t>
            </w:r>
            <w:r>
              <w:rPr>
                <w:bCs/>
                <w:color w:val="000000"/>
                <w:sz w:val="18"/>
                <w:szCs w:val="18"/>
              </w:rPr>
              <w:t>证书号：</w:t>
            </w:r>
          </w:p>
          <w:p>
            <w:pPr>
              <w:adjustRightInd w:val="0"/>
              <w:snapToGrid w:val="0"/>
              <w:ind w:firstLine="360" w:firstLineChars="200"/>
              <w:rPr>
                <w:bCs/>
                <w:color w:val="000000"/>
                <w:sz w:val="18"/>
                <w:szCs w:val="18"/>
              </w:rPr>
            </w:pPr>
            <w:r>
              <w:rPr>
                <w:bCs/>
                <w:color w:val="000000"/>
                <w:sz w:val="18"/>
                <w:szCs w:val="18"/>
              </w:rPr>
              <w:t>2005-J-201-2-15-R04</w:t>
            </w:r>
          </w:p>
          <w:p>
            <w:pPr>
              <w:adjustRightInd w:val="0"/>
              <w:snapToGrid w:val="0"/>
              <w:ind w:firstLine="360" w:firstLineChars="200"/>
              <w:rPr>
                <w:bCs/>
                <w:color w:val="000000"/>
                <w:sz w:val="18"/>
                <w:szCs w:val="18"/>
              </w:rPr>
            </w:pPr>
            <w:r>
              <w:rPr>
                <w:bCs/>
                <w:color w:val="000000"/>
                <w:sz w:val="18"/>
                <w:szCs w:val="18"/>
              </w:rPr>
              <w:t>2005-J-201-2-15-R01</w:t>
            </w:r>
          </w:p>
          <w:p>
            <w:pPr>
              <w:adjustRightInd w:val="0"/>
              <w:snapToGrid w:val="0"/>
              <w:ind w:firstLine="360" w:firstLineChars="200"/>
              <w:rPr>
                <w:bCs/>
                <w:color w:val="000000"/>
                <w:sz w:val="18"/>
                <w:szCs w:val="18"/>
              </w:rPr>
            </w:pPr>
            <w:r>
              <w:rPr>
                <w:bCs/>
                <w:color w:val="000000"/>
                <w:sz w:val="18"/>
                <w:szCs w:val="18"/>
              </w:rPr>
              <w:t>2005-J-201-2-15-R03</w:t>
            </w:r>
          </w:p>
          <w:p>
            <w:pPr>
              <w:adjustRightInd w:val="0"/>
              <w:snapToGrid w:val="0"/>
              <w:ind w:firstLine="360" w:firstLineChars="200"/>
              <w:rPr>
                <w:bCs/>
                <w:color w:val="000000"/>
                <w:sz w:val="18"/>
                <w:szCs w:val="18"/>
              </w:rPr>
            </w:pPr>
            <w:r>
              <w:rPr>
                <w:bCs/>
                <w:color w:val="000000"/>
                <w:sz w:val="18"/>
                <w:szCs w:val="18"/>
              </w:rPr>
              <w:t>2005-J-201-2-15-R05</w:t>
            </w:r>
          </w:p>
          <w:p>
            <w:pPr>
              <w:adjustRightInd w:val="0"/>
              <w:snapToGrid w:val="0"/>
              <w:ind w:firstLine="360" w:firstLineChars="200"/>
              <w:jc w:val="left"/>
              <w:rPr>
                <w:bCs/>
                <w:color w:val="000000"/>
                <w:sz w:val="18"/>
                <w:szCs w:val="18"/>
              </w:rPr>
            </w:pPr>
            <w:r>
              <w:rPr>
                <w:bCs/>
                <w:color w:val="000000"/>
                <w:sz w:val="18"/>
                <w:szCs w:val="18"/>
              </w:rPr>
              <w:t>第13届水土保持学会科学技术一等奖</w:t>
            </w:r>
          </w:p>
          <w:p>
            <w:pPr>
              <w:adjustRightInd w:val="0"/>
              <w:snapToGrid w:val="0"/>
              <w:jc w:val="center"/>
              <w:rPr>
                <w:bCs/>
                <w:color w:val="000000"/>
                <w:sz w:val="18"/>
                <w:szCs w:val="18"/>
              </w:rPr>
            </w:pPr>
            <w:r>
              <w:rPr>
                <w:bCs/>
                <w:color w:val="000000"/>
                <w:sz w:val="18"/>
                <w:szCs w:val="18"/>
              </w:rPr>
              <w:t>SBXH2021-J-1-02-D01</w:t>
            </w:r>
          </w:p>
          <w:p>
            <w:pPr>
              <w:adjustRightInd w:val="0"/>
              <w:snapToGrid w:val="0"/>
              <w:jc w:val="center"/>
            </w:pPr>
            <w:r>
              <w:rPr>
                <w:bCs/>
                <w:color w:val="000000"/>
                <w:sz w:val="18"/>
                <w:szCs w:val="18"/>
              </w:rPr>
              <w:t>SBXH2021-J-1-02-D02</w:t>
            </w:r>
          </w:p>
          <w:p>
            <w:pPr>
              <w:adjustRightInd w:val="0"/>
              <w:snapToGrid w:val="0"/>
              <w:jc w:val="center"/>
              <w:rPr>
                <w:bCs/>
                <w:color w:val="000000"/>
                <w:sz w:val="18"/>
                <w:szCs w:val="18"/>
              </w:rPr>
            </w:pPr>
            <w:r>
              <w:rPr>
                <w:bCs/>
                <w:color w:val="000000"/>
                <w:sz w:val="18"/>
                <w:szCs w:val="18"/>
              </w:rPr>
              <w:t>SBXH2021-J-1-02-D03</w:t>
            </w:r>
          </w:p>
          <w:p>
            <w:pPr>
              <w:adjustRightInd w:val="0"/>
              <w:snapToGrid w:val="0"/>
              <w:jc w:val="center"/>
              <w:rPr>
                <w:bCs/>
                <w:color w:val="000000"/>
                <w:sz w:val="18"/>
                <w:szCs w:val="18"/>
              </w:rPr>
            </w:pPr>
            <w:r>
              <w:rPr>
                <w:bCs/>
                <w:color w:val="000000"/>
                <w:sz w:val="18"/>
                <w:szCs w:val="18"/>
              </w:rPr>
              <w:t>SBXH2021-J-1-02-D05</w:t>
            </w:r>
          </w:p>
          <w:p>
            <w:pPr>
              <w:adjustRightInd w:val="0"/>
              <w:snapToGrid w:val="0"/>
              <w:jc w:val="center"/>
              <w:rPr>
                <w:bCs/>
                <w:color w:val="000000"/>
                <w:sz w:val="18"/>
                <w:szCs w:val="18"/>
              </w:rPr>
            </w:pPr>
            <w:r>
              <w:rPr>
                <w:bCs/>
                <w:color w:val="000000"/>
                <w:sz w:val="18"/>
                <w:szCs w:val="18"/>
              </w:rPr>
              <w:t>SBXH2021-J-1-02-D07</w:t>
            </w:r>
          </w:p>
          <w:p>
            <w:pPr>
              <w:adjustRightInd w:val="0"/>
              <w:snapToGrid w:val="0"/>
              <w:jc w:val="center"/>
              <w:rPr>
                <w:bCs/>
                <w:color w:val="000000"/>
                <w:sz w:val="18"/>
                <w:szCs w:val="18"/>
              </w:rPr>
            </w:pPr>
            <w:r>
              <w:rPr>
                <w:bCs/>
                <w:color w:val="000000"/>
                <w:sz w:val="18"/>
                <w:szCs w:val="18"/>
              </w:rPr>
              <w:t>SBXH2021-J-1-02-D09</w:t>
            </w:r>
          </w:p>
          <w:p>
            <w:pPr>
              <w:adjustRightInd w:val="0"/>
              <w:snapToGrid w:val="0"/>
              <w:jc w:val="center"/>
              <w:rPr>
                <w:bCs/>
                <w:color w:val="000000"/>
                <w:sz w:val="18"/>
                <w:szCs w:val="18"/>
              </w:rPr>
            </w:pPr>
            <w:r>
              <w:rPr>
                <w:bCs/>
                <w:color w:val="000000"/>
                <w:sz w:val="18"/>
                <w:szCs w:val="18"/>
              </w:rPr>
              <w:t>SBXH2021-J-1-02-D012</w:t>
            </w:r>
          </w:p>
          <w:p>
            <w:pPr>
              <w:adjustRightInd w:val="0"/>
              <w:snapToGrid w:val="0"/>
              <w:jc w:val="center"/>
              <w:rPr>
                <w:bCs/>
                <w:color w:val="000000"/>
                <w:sz w:val="18"/>
                <w:szCs w:val="18"/>
              </w:rPr>
            </w:pPr>
            <w:r>
              <w:rPr>
                <w:bCs/>
                <w:color w:val="000000"/>
                <w:sz w:val="18"/>
                <w:szCs w:val="18"/>
              </w:rPr>
              <w:t>SBXH2021-J-1-02-D013</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SBXH2021-J-1-02-D014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5</w:t>
            </w:r>
          </w:p>
        </w:tc>
        <w:tc>
          <w:tcPr>
            <w:tcW w:w="1103" w:type="dxa"/>
            <w:vAlign w:val="center"/>
          </w:tcPr>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合著</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高哲/7</w:t>
            </w:r>
          </w:p>
          <w:p>
            <w:pPr>
              <w:adjustRightInd w:val="0"/>
              <w:snapToGrid w:val="0"/>
              <w:jc w:val="center"/>
              <w:rPr>
                <w:bCs/>
                <w:color w:val="000000"/>
                <w:sz w:val="18"/>
                <w:szCs w:val="18"/>
              </w:rPr>
            </w:pPr>
            <w:r>
              <w:rPr>
                <w:bCs/>
                <w:color w:val="000000"/>
                <w:sz w:val="18"/>
                <w:szCs w:val="18"/>
              </w:rPr>
              <w:t>赵春红/12</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360"/>
              <w:jc w:val="left"/>
              <w:rPr>
                <w:rFonts w:ascii="Times New Roman"/>
                <w:bCs/>
                <w:color w:val="000000"/>
                <w:sz w:val="18"/>
                <w:szCs w:val="18"/>
              </w:rPr>
            </w:pPr>
            <w:r>
              <w:rPr>
                <w:rFonts w:ascii="Times New Roman"/>
                <w:bCs/>
                <w:color w:val="000000"/>
                <w:sz w:val="18"/>
                <w:szCs w:val="18"/>
              </w:rPr>
              <w:t>2001-01-01~</w:t>
            </w:r>
          </w:p>
          <w:p>
            <w:pPr>
              <w:pStyle w:val="2"/>
              <w:adjustRightInd w:val="0"/>
              <w:snapToGrid w:val="0"/>
              <w:spacing w:line="240" w:lineRule="auto"/>
              <w:ind w:firstLine="360"/>
              <w:jc w:val="left"/>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出版/发表</w:t>
            </w:r>
          </w:p>
        </w:tc>
        <w:tc>
          <w:tcPr>
            <w:tcW w:w="2415" w:type="dxa"/>
            <w:vAlign w:val="center"/>
          </w:tcPr>
          <w:p>
            <w:pPr>
              <w:adjustRightInd w:val="0"/>
              <w:snapToGrid w:val="0"/>
              <w:jc w:val="left"/>
              <w:rPr>
                <w:bCs/>
                <w:color w:val="000000"/>
                <w:sz w:val="15"/>
                <w:szCs w:val="15"/>
              </w:rPr>
            </w:pPr>
            <w:r>
              <w:rPr>
                <w:bCs/>
                <w:color w:val="000000"/>
                <w:sz w:val="15"/>
                <w:szCs w:val="15"/>
              </w:rPr>
              <w:t>[1]《黄土高原水土保持新论》</w:t>
            </w:r>
          </w:p>
          <w:p>
            <w:pPr>
              <w:adjustRightInd w:val="0"/>
              <w:snapToGrid w:val="0"/>
              <w:jc w:val="left"/>
              <w:rPr>
                <w:bCs/>
                <w:color w:val="000000"/>
                <w:sz w:val="15"/>
                <w:szCs w:val="15"/>
              </w:rPr>
            </w:pPr>
            <w:r>
              <w:rPr>
                <w:bCs/>
                <w:color w:val="000000"/>
                <w:sz w:val="15"/>
                <w:szCs w:val="15"/>
              </w:rPr>
              <w:t>[2]《中国雨水利用》</w:t>
            </w:r>
          </w:p>
          <w:p>
            <w:pPr>
              <w:adjustRightInd w:val="0"/>
              <w:snapToGrid w:val="0"/>
              <w:jc w:val="left"/>
              <w:rPr>
                <w:bCs/>
                <w:color w:val="000000"/>
                <w:sz w:val="15"/>
                <w:szCs w:val="15"/>
              </w:rPr>
            </w:pPr>
            <w:r>
              <w:rPr>
                <w:bCs/>
                <w:color w:val="000000"/>
                <w:sz w:val="15"/>
                <w:szCs w:val="15"/>
              </w:rPr>
              <w:t>[3] Evaluating the flow and sediment effects of gully land consolidation on the Loess Plateau, China. Journal of Hydrology, 2021,600.</w:t>
            </w:r>
          </w:p>
          <w:p>
            <w:pPr>
              <w:adjustRightInd w:val="0"/>
              <w:snapToGrid w:val="0"/>
              <w:jc w:val="left"/>
              <w:rPr>
                <w:bCs/>
                <w:color w:val="000000"/>
                <w:sz w:val="15"/>
                <w:szCs w:val="15"/>
              </w:rPr>
            </w:pPr>
            <w:r>
              <w:rPr>
                <w:bCs/>
                <w:color w:val="000000"/>
                <w:sz w:val="15"/>
                <w:szCs w:val="15"/>
              </w:rPr>
              <w:t>[4] Study on the Mechanism of Nano-SiO2 for Improving the Properties of Cement-Based Soil Stabilizer. Nanomaterials, 2020 2.</w:t>
            </w:r>
          </w:p>
          <w:p>
            <w:pPr>
              <w:adjustRightInd w:val="0"/>
              <w:snapToGrid w:val="0"/>
              <w:jc w:val="left"/>
              <w:rPr>
                <w:bCs/>
                <w:color w:val="000000"/>
                <w:sz w:val="15"/>
                <w:szCs w:val="15"/>
              </w:rPr>
            </w:pPr>
            <w:r>
              <w:rPr>
                <w:bCs/>
                <w:color w:val="000000"/>
                <w:sz w:val="15"/>
                <w:szCs w:val="15"/>
              </w:rPr>
              <w:t>[5] Changes and implications of the relationship between rainfall, runoff and sediment load in the Wuding River basin on the Chinese Loess Plateau. Catena,2019,175.</w:t>
            </w:r>
          </w:p>
          <w:p>
            <w:pPr>
              <w:pStyle w:val="2"/>
              <w:adjustRightInd w:val="0"/>
              <w:snapToGrid w:val="0"/>
              <w:spacing w:line="240" w:lineRule="auto"/>
              <w:ind w:firstLine="0" w:firstLineChars="0"/>
              <w:jc w:val="left"/>
              <w:rPr>
                <w:rFonts w:ascii="Times New Roman"/>
                <w:b/>
                <w:sz w:val="15"/>
                <w:szCs w:val="15"/>
              </w:rPr>
            </w:pPr>
            <w:r>
              <w:rPr>
                <w:rFonts w:ascii="Times New Roman"/>
                <w:bCs/>
                <w:color w:val="000000"/>
                <w:sz w:val="15"/>
                <w:szCs w:val="15"/>
              </w:rPr>
              <w:t>[6] Sediment deposition and overland flow hydraulics in simulated vegetative filter strips under varying vegetation covers. Hydrological Processes. 2016, 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06" w:hRule="exact"/>
          <w:jc w:val="center"/>
        </w:trPr>
        <w:tc>
          <w:tcPr>
            <w:tcW w:w="8999" w:type="dxa"/>
            <w:gridSpan w:val="6"/>
          </w:tcPr>
          <w:p>
            <w:pPr>
              <w:pStyle w:val="2"/>
              <w:adjustRightInd w:val="0"/>
              <w:snapToGrid w:val="0"/>
              <w:ind w:firstLine="0" w:firstLineChars="0"/>
              <w:jc w:val="left"/>
              <w:rPr>
                <w:rFonts w:ascii="Times New Roman"/>
                <w:b/>
                <w:sz w:val="18"/>
                <w:szCs w:val="18"/>
              </w:rPr>
            </w:pPr>
            <w:r>
              <w:rPr>
                <w:rFonts w:ascii="Times New Roman"/>
                <w:b/>
                <w:sz w:val="18"/>
                <w:szCs w:val="18"/>
              </w:rPr>
              <w:t>完成人合作关系说明（限1000字）</w:t>
            </w:r>
          </w:p>
          <w:p>
            <w:pPr>
              <w:pStyle w:val="2"/>
              <w:adjustRightInd w:val="0"/>
              <w:snapToGrid w:val="0"/>
              <w:ind w:firstLine="360"/>
              <w:rPr>
                <w:rFonts w:ascii="Times New Roman"/>
                <w:bCs/>
                <w:sz w:val="18"/>
                <w:szCs w:val="18"/>
              </w:rPr>
            </w:pPr>
            <w:r>
              <w:rPr>
                <w:rFonts w:hint="eastAsia" w:ascii="Times New Roman"/>
                <w:bCs/>
                <w:sz w:val="18"/>
                <w:szCs w:val="18"/>
              </w:rPr>
              <w:t>本项目第一完成人高建恩教授，总体负责支撑本项目涉及的国家计划项目及课题申报、执行、验收。主持完成了本项目的理论、材料、形式、装置研制及规范的制定工作。主持和参与项目示范基地先后接待了国家主要领导人、省及国外领导人参观访问。在此基础上提出坡沟水沙调控工程淤地坝风险管控和山地果园风险管控重大建议，受到时任国务院主要领导和省部领导批示和政府采纳，产生重大经济社会效益。知识产权1、2、3、9、10第一完成人。</w:t>
            </w:r>
          </w:p>
          <w:p>
            <w:pPr>
              <w:pStyle w:val="2"/>
              <w:adjustRightInd w:val="0"/>
              <w:snapToGrid w:val="0"/>
              <w:ind w:firstLine="360"/>
              <w:rPr>
                <w:rFonts w:ascii="Times New Roman"/>
                <w:bCs/>
                <w:sz w:val="18"/>
                <w:szCs w:val="18"/>
              </w:rPr>
            </w:pPr>
            <w:r>
              <w:rPr>
                <w:rFonts w:hint="eastAsia" w:ascii="Times New Roman"/>
                <w:bCs/>
                <w:sz w:val="18"/>
                <w:szCs w:val="18"/>
              </w:rPr>
              <w:t>吴普特教授是坡面降雨径流调控利用理论的主要构建者。与第一、三、六完成人合作完成“主要知识产权和标准规范”中第3、5、6，与第一完成人共同获奖，并合著有《黄土高原水土保持新论》等。此外第一完成人参加了第二、第三完成人主编的《中国雨水利用》等工作。</w:t>
            </w:r>
          </w:p>
          <w:p>
            <w:pPr>
              <w:pStyle w:val="2"/>
              <w:adjustRightInd w:val="0"/>
              <w:snapToGrid w:val="0"/>
              <w:ind w:firstLine="360"/>
              <w:rPr>
                <w:rFonts w:ascii="Times New Roman"/>
                <w:bCs/>
                <w:sz w:val="18"/>
                <w:szCs w:val="18"/>
              </w:rPr>
            </w:pPr>
            <w:r>
              <w:rPr>
                <w:rFonts w:hint="eastAsia" w:ascii="Times New Roman"/>
                <w:bCs/>
                <w:sz w:val="18"/>
                <w:szCs w:val="18"/>
              </w:rPr>
              <w:t>冯浩研究员与第一、第二完成人共同获奖，与第二完成人合作开发了土壤扩蓄增容肥，“主要知识产权和标准规范”中第5主要完成人。负责并与第一完成人合作执行“十四五”国家重点研发计划2021YFD190070402。</w:t>
            </w:r>
          </w:p>
          <w:p>
            <w:pPr>
              <w:pStyle w:val="2"/>
              <w:adjustRightInd w:val="0"/>
              <w:snapToGrid w:val="0"/>
              <w:ind w:firstLine="360"/>
              <w:rPr>
                <w:rFonts w:ascii="Times New Roman"/>
                <w:bCs/>
                <w:sz w:val="18"/>
                <w:szCs w:val="18"/>
              </w:rPr>
            </w:pPr>
            <w:r>
              <w:rPr>
                <w:rFonts w:hint="eastAsia" w:ascii="Times New Roman"/>
                <w:bCs/>
                <w:sz w:val="18"/>
                <w:szCs w:val="18"/>
              </w:rPr>
              <w:t>樊恒辉研究员发明了水沙调控的液态固化剂新材料、暴雨集流场及蓄水装置等施工工艺，与第一完成人合作编写了地方规范9、10。罗林涛研究员与第一完成人共同申请了国家重点研发计划项目2017YFC0504700，分别主持2017YFC0504703和 2017YFC0504705，共同完成知识产权及规范10。</w:t>
            </w:r>
          </w:p>
          <w:p>
            <w:pPr>
              <w:pStyle w:val="2"/>
              <w:adjustRightInd w:val="0"/>
              <w:snapToGrid w:val="0"/>
              <w:ind w:firstLine="360"/>
              <w:rPr>
                <w:rFonts w:ascii="Times New Roman"/>
                <w:bCs/>
                <w:sz w:val="18"/>
                <w:szCs w:val="18"/>
              </w:rPr>
            </w:pPr>
            <w:r>
              <w:rPr>
                <w:rFonts w:hint="eastAsia" w:ascii="Times New Roman"/>
                <w:bCs/>
                <w:sz w:val="18"/>
                <w:szCs w:val="18"/>
              </w:rPr>
              <w:t>田堪良教授级高级工程师协助第一完成人完成部分国家重点研发项目申请，负责坡面水沙调控工程研发，与第一完成人完成知识产权8和10。高哲讲师发明了一种沟道梯级土地整治工程暴雨洪水安全风险评估方法和一种旱地果园绿色智能集雨系统，与第一完成人合作完成知识产权1、2、7、10。韩剑桥副研究员负责水沙径流调控利用，与第一完成人完成“主要知识产权和标准规范”2、9、10。</w:t>
            </w:r>
          </w:p>
          <w:p>
            <w:pPr>
              <w:pStyle w:val="2"/>
              <w:adjustRightInd w:val="0"/>
              <w:snapToGrid w:val="0"/>
              <w:ind w:firstLine="360"/>
              <w:rPr>
                <w:rFonts w:ascii="Times New Roman"/>
                <w:b/>
                <w:sz w:val="18"/>
                <w:szCs w:val="18"/>
              </w:rPr>
            </w:pPr>
            <w:r>
              <w:rPr>
                <w:rFonts w:hint="eastAsia" w:ascii="Times New Roman"/>
                <w:bCs/>
                <w:sz w:val="18"/>
                <w:szCs w:val="18"/>
              </w:rPr>
              <w:t>朱德兰教授协助第一完成人完成部分国家支撑计划课题的申请和完成，发明了山地果园暴雨侵蚀防控的蓄水装置、开发了设计优化软件和苹果园管理系统，与第一完成人合作完成知识产权4。范兴科研究员系统研究了山地果园矮化苹果的节水灌溉制度、与第一完成人合作完成多项节水灌溉设备研发并共同获奖，是知识产权7的第一完成人。张根广研究员负责了水沙径流调控利用相关实验，与第一完成人合作完成“主要知识产权和标准规范”2、10。赵春红高级工程师、张星辰高级工程师、李兴华讲师、龙韶博工程师等分别协助第一完成人完成部分项目申请，分别协助第一完成人完成“主要知识产权和标准规范”第1、2、7、9和10。</w:t>
            </w:r>
          </w:p>
        </w:tc>
      </w:tr>
    </w:tbl>
    <w:p>
      <w:pPr>
        <w:spacing w:line="340" w:lineRule="exact"/>
        <w:rPr>
          <w:b/>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105700"/>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Yzc1ZDhkMzkyNGRjZmI3NWFmMDNhZWNkM2I5YWMifQ=="/>
    <w:docVar w:name="KSO_WPS_MARK_KEY" w:val="473fdf1f-e084-4c50-938b-aece7e2a25ad"/>
  </w:docVars>
  <w:rsids>
    <w:rsidRoot w:val="00EF65C4"/>
    <w:rsid w:val="00007D4E"/>
    <w:rsid w:val="00045817"/>
    <w:rsid w:val="00070CCE"/>
    <w:rsid w:val="000712BA"/>
    <w:rsid w:val="00083407"/>
    <w:rsid w:val="00085050"/>
    <w:rsid w:val="000852F0"/>
    <w:rsid w:val="000A5F85"/>
    <w:rsid w:val="000B6E62"/>
    <w:rsid w:val="000C1B42"/>
    <w:rsid w:val="00104387"/>
    <w:rsid w:val="001132E2"/>
    <w:rsid w:val="00116248"/>
    <w:rsid w:val="00120DD9"/>
    <w:rsid w:val="00122E4C"/>
    <w:rsid w:val="00127515"/>
    <w:rsid w:val="00156607"/>
    <w:rsid w:val="00192174"/>
    <w:rsid w:val="001B1DC4"/>
    <w:rsid w:val="001C539F"/>
    <w:rsid w:val="001D0B58"/>
    <w:rsid w:val="0021363D"/>
    <w:rsid w:val="00216751"/>
    <w:rsid w:val="00243527"/>
    <w:rsid w:val="002645DE"/>
    <w:rsid w:val="002860C8"/>
    <w:rsid w:val="00292E35"/>
    <w:rsid w:val="002B4307"/>
    <w:rsid w:val="002B43D7"/>
    <w:rsid w:val="003111A4"/>
    <w:rsid w:val="00314050"/>
    <w:rsid w:val="003237E7"/>
    <w:rsid w:val="00332289"/>
    <w:rsid w:val="0034170B"/>
    <w:rsid w:val="003556CB"/>
    <w:rsid w:val="003628E0"/>
    <w:rsid w:val="00362E4C"/>
    <w:rsid w:val="00382BEC"/>
    <w:rsid w:val="003B5D2D"/>
    <w:rsid w:val="003E1CD1"/>
    <w:rsid w:val="003E703C"/>
    <w:rsid w:val="00400D18"/>
    <w:rsid w:val="00414542"/>
    <w:rsid w:val="00414843"/>
    <w:rsid w:val="00452CE4"/>
    <w:rsid w:val="00455138"/>
    <w:rsid w:val="004613D9"/>
    <w:rsid w:val="0046187E"/>
    <w:rsid w:val="00480512"/>
    <w:rsid w:val="004B0786"/>
    <w:rsid w:val="004B27D6"/>
    <w:rsid w:val="004C47AB"/>
    <w:rsid w:val="004D7218"/>
    <w:rsid w:val="004F34D3"/>
    <w:rsid w:val="004F642C"/>
    <w:rsid w:val="00506AAC"/>
    <w:rsid w:val="00510D58"/>
    <w:rsid w:val="00530BB2"/>
    <w:rsid w:val="005446BF"/>
    <w:rsid w:val="00564B2B"/>
    <w:rsid w:val="00570478"/>
    <w:rsid w:val="0057296F"/>
    <w:rsid w:val="005813D9"/>
    <w:rsid w:val="005A5A60"/>
    <w:rsid w:val="005C5F8D"/>
    <w:rsid w:val="005E24AE"/>
    <w:rsid w:val="00616DFE"/>
    <w:rsid w:val="0063381A"/>
    <w:rsid w:val="00645226"/>
    <w:rsid w:val="00656FE1"/>
    <w:rsid w:val="006636E3"/>
    <w:rsid w:val="006703D8"/>
    <w:rsid w:val="006712AD"/>
    <w:rsid w:val="006740AE"/>
    <w:rsid w:val="006741C8"/>
    <w:rsid w:val="006A016A"/>
    <w:rsid w:val="006A0776"/>
    <w:rsid w:val="006A1B7A"/>
    <w:rsid w:val="006C3959"/>
    <w:rsid w:val="006C42E3"/>
    <w:rsid w:val="006C5D20"/>
    <w:rsid w:val="006D69AA"/>
    <w:rsid w:val="006E0D20"/>
    <w:rsid w:val="006E3D4C"/>
    <w:rsid w:val="006E7D49"/>
    <w:rsid w:val="00713BB3"/>
    <w:rsid w:val="00716D4A"/>
    <w:rsid w:val="007463EF"/>
    <w:rsid w:val="00746483"/>
    <w:rsid w:val="007512BD"/>
    <w:rsid w:val="0075359D"/>
    <w:rsid w:val="00767225"/>
    <w:rsid w:val="00770ADA"/>
    <w:rsid w:val="007736A3"/>
    <w:rsid w:val="007A1227"/>
    <w:rsid w:val="007A54E8"/>
    <w:rsid w:val="007B7BF7"/>
    <w:rsid w:val="007D0759"/>
    <w:rsid w:val="007E3A4D"/>
    <w:rsid w:val="007F576D"/>
    <w:rsid w:val="007F6052"/>
    <w:rsid w:val="00802AD5"/>
    <w:rsid w:val="008065A4"/>
    <w:rsid w:val="00807AEC"/>
    <w:rsid w:val="00821D60"/>
    <w:rsid w:val="00822C85"/>
    <w:rsid w:val="008350A7"/>
    <w:rsid w:val="00836537"/>
    <w:rsid w:val="00850FEC"/>
    <w:rsid w:val="00866733"/>
    <w:rsid w:val="00867A00"/>
    <w:rsid w:val="00870E65"/>
    <w:rsid w:val="00870F04"/>
    <w:rsid w:val="008770B3"/>
    <w:rsid w:val="008854C2"/>
    <w:rsid w:val="008A3852"/>
    <w:rsid w:val="008A42F4"/>
    <w:rsid w:val="008C7751"/>
    <w:rsid w:val="008E033F"/>
    <w:rsid w:val="008E299B"/>
    <w:rsid w:val="00900C0D"/>
    <w:rsid w:val="00900E2F"/>
    <w:rsid w:val="00936427"/>
    <w:rsid w:val="00941F84"/>
    <w:rsid w:val="0094238E"/>
    <w:rsid w:val="009549C5"/>
    <w:rsid w:val="0096121D"/>
    <w:rsid w:val="00970E0B"/>
    <w:rsid w:val="009763D1"/>
    <w:rsid w:val="0098140E"/>
    <w:rsid w:val="00982C40"/>
    <w:rsid w:val="0099279D"/>
    <w:rsid w:val="00994866"/>
    <w:rsid w:val="009B45EE"/>
    <w:rsid w:val="009B5AED"/>
    <w:rsid w:val="009E193E"/>
    <w:rsid w:val="00A01209"/>
    <w:rsid w:val="00A14D2F"/>
    <w:rsid w:val="00A25986"/>
    <w:rsid w:val="00A34DFC"/>
    <w:rsid w:val="00A36B7B"/>
    <w:rsid w:val="00A36BA1"/>
    <w:rsid w:val="00A551E2"/>
    <w:rsid w:val="00A651F5"/>
    <w:rsid w:val="00A8618C"/>
    <w:rsid w:val="00A944F5"/>
    <w:rsid w:val="00A94561"/>
    <w:rsid w:val="00A97B0E"/>
    <w:rsid w:val="00AA0AEA"/>
    <w:rsid w:val="00AB5EC7"/>
    <w:rsid w:val="00AC0480"/>
    <w:rsid w:val="00AC5CAA"/>
    <w:rsid w:val="00AC65BC"/>
    <w:rsid w:val="00AF244E"/>
    <w:rsid w:val="00B16E99"/>
    <w:rsid w:val="00B24B2B"/>
    <w:rsid w:val="00B36337"/>
    <w:rsid w:val="00B455C1"/>
    <w:rsid w:val="00B62C8A"/>
    <w:rsid w:val="00B77E0B"/>
    <w:rsid w:val="00B81CCB"/>
    <w:rsid w:val="00B93E4B"/>
    <w:rsid w:val="00B95D1C"/>
    <w:rsid w:val="00BA6958"/>
    <w:rsid w:val="00BB14EC"/>
    <w:rsid w:val="00BB2DEB"/>
    <w:rsid w:val="00BB5699"/>
    <w:rsid w:val="00BB7D67"/>
    <w:rsid w:val="00BC7BEF"/>
    <w:rsid w:val="00BD2148"/>
    <w:rsid w:val="00BD7260"/>
    <w:rsid w:val="00BE6D48"/>
    <w:rsid w:val="00BF427E"/>
    <w:rsid w:val="00C02A9E"/>
    <w:rsid w:val="00C07241"/>
    <w:rsid w:val="00C147A1"/>
    <w:rsid w:val="00C26931"/>
    <w:rsid w:val="00C50C7F"/>
    <w:rsid w:val="00C575EC"/>
    <w:rsid w:val="00C80888"/>
    <w:rsid w:val="00C83B36"/>
    <w:rsid w:val="00C83CC5"/>
    <w:rsid w:val="00C92018"/>
    <w:rsid w:val="00CB5D97"/>
    <w:rsid w:val="00CC133F"/>
    <w:rsid w:val="00CC3D51"/>
    <w:rsid w:val="00CC7601"/>
    <w:rsid w:val="00CD236D"/>
    <w:rsid w:val="00CE031E"/>
    <w:rsid w:val="00CF18E0"/>
    <w:rsid w:val="00CF746A"/>
    <w:rsid w:val="00D102BF"/>
    <w:rsid w:val="00D2330E"/>
    <w:rsid w:val="00D23B1D"/>
    <w:rsid w:val="00D27AB9"/>
    <w:rsid w:val="00D27BC9"/>
    <w:rsid w:val="00D41C52"/>
    <w:rsid w:val="00D47341"/>
    <w:rsid w:val="00D4783F"/>
    <w:rsid w:val="00DA532A"/>
    <w:rsid w:val="00DB3483"/>
    <w:rsid w:val="00DB5654"/>
    <w:rsid w:val="00DC6312"/>
    <w:rsid w:val="00DD570A"/>
    <w:rsid w:val="00DF0006"/>
    <w:rsid w:val="00E04042"/>
    <w:rsid w:val="00E04D1D"/>
    <w:rsid w:val="00E15735"/>
    <w:rsid w:val="00E57D9D"/>
    <w:rsid w:val="00E60E59"/>
    <w:rsid w:val="00E6665E"/>
    <w:rsid w:val="00E66772"/>
    <w:rsid w:val="00E7054A"/>
    <w:rsid w:val="00E92204"/>
    <w:rsid w:val="00EE431C"/>
    <w:rsid w:val="00EF65C4"/>
    <w:rsid w:val="00F03D1C"/>
    <w:rsid w:val="00F10315"/>
    <w:rsid w:val="00F204B6"/>
    <w:rsid w:val="00F21429"/>
    <w:rsid w:val="00F53360"/>
    <w:rsid w:val="00F63B3B"/>
    <w:rsid w:val="00F8129D"/>
    <w:rsid w:val="00F91D74"/>
    <w:rsid w:val="00F97D87"/>
    <w:rsid w:val="00FA50BA"/>
    <w:rsid w:val="00FB198C"/>
    <w:rsid w:val="00FB2141"/>
    <w:rsid w:val="00FC58A9"/>
    <w:rsid w:val="00FD5A33"/>
    <w:rsid w:val="00FE4631"/>
    <w:rsid w:val="00FF1F93"/>
    <w:rsid w:val="00FF640F"/>
    <w:rsid w:val="165E1294"/>
    <w:rsid w:val="24823A5B"/>
    <w:rsid w:val="26434F52"/>
    <w:rsid w:val="2838059E"/>
    <w:rsid w:val="52A96240"/>
    <w:rsid w:val="53052C5E"/>
    <w:rsid w:val="59772BA1"/>
    <w:rsid w:val="5B60089B"/>
    <w:rsid w:val="5D00582B"/>
    <w:rsid w:val="638101A9"/>
    <w:rsid w:val="6608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pPr>
      <w:spacing w:line="360" w:lineRule="auto"/>
      <w:ind w:firstLine="480" w:firstLineChars="200"/>
    </w:pPr>
    <w:rPr>
      <w:rFonts w:ascii="仿宋_GB2312"/>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Char"/>
    <w:qFormat/>
    <w:uiPriority w:val="0"/>
    <w:rPr>
      <w:rFonts w:ascii="仿宋_GB2312" w:hAnsi="Times New Roman" w:eastAsia="宋体" w:cs="Times New Roman"/>
      <w:sz w:val="24"/>
      <w:szCs w:val="20"/>
    </w:rPr>
  </w:style>
  <w:style w:type="character" w:customStyle="1" w:styleId="10">
    <w:name w:val="纯文本 字符"/>
    <w:basedOn w:val="6"/>
    <w:link w:val="2"/>
    <w:semiHidden/>
    <w:qFormat/>
    <w:uiPriority w:val="99"/>
    <w:rPr>
      <w:rFonts w:ascii="宋体" w:hAnsi="Courier New" w:eastAsia="宋体" w:cs="Courier New"/>
      <w:szCs w:val="21"/>
    </w:rPr>
  </w:style>
  <w:style w:type="character" w:customStyle="1" w:styleId="11">
    <w:name w:val="纯文本 Char2"/>
    <w:qFormat/>
    <w:uiPriority w:val="0"/>
    <w:rPr>
      <w:rFonts w:ascii="仿宋_GB2312" w:hAnsi="Times New Roman"/>
      <w:kern w:val="2"/>
      <w:sz w:val="24"/>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916A-E880-4673-BA11-77BD7E52633D}">
  <ds:schemaRefs/>
</ds:datastoreItem>
</file>

<file path=docProps/app.xml><?xml version="1.0" encoding="utf-8"?>
<Properties xmlns="http://schemas.openxmlformats.org/officeDocument/2006/extended-properties" xmlns:vt="http://schemas.openxmlformats.org/officeDocument/2006/docPropsVTypes">
  <Template>Normal.dotm</Template>
  <Pages>9</Pages>
  <Words>8183</Words>
  <Characters>9938</Characters>
  <Lines>74</Lines>
  <Paragraphs>20</Paragraphs>
  <TotalTime>1</TotalTime>
  <ScaleCrop>false</ScaleCrop>
  <LinksUpToDate>false</LinksUpToDate>
  <CharactersWithSpaces>10037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2024-07-02T01:52:00Z</dcterms:created>
  <dc:creator>张华海</dc:creator>
  <cp:lastModifiedBy>青</cp:lastModifiedBy>
  <cp:lastPrinted>2024-06-30T04:43:00Z</cp:lastPrinted>
  <dcterms:modified xsi:type="dcterms:W3CDTF">2024-07-03T09:31:06Z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0A40016FFAC6442780B40A9A8BB67943</vt:lpwstr>
  </property>
</Properties>
</file>