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杨凌职业技术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“中国-巴基斯坦千人培训计划项目”报价及明细清单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供应商名称（盖公章）：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供应商联系方式：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服务需求报价（以下三种服务方案分别进行报价。会议报单价，不计入总额。）:</w:t>
      </w: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442"/>
        <w:gridCol w:w="1400"/>
        <w:gridCol w:w="977"/>
        <w:gridCol w:w="1070"/>
        <w:gridCol w:w="1134"/>
        <w:gridCol w:w="694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种类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住宿单价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（元/间/天）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用餐单价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（元/人/天）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报价总额（元）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（元/天）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是否优于服务标准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增值服务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第一种：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4C4C4C"/>
                <w:spacing w:val="0"/>
                <w:sz w:val="21"/>
                <w:szCs w:val="21"/>
                <w:lang w:val="en-US" w:eastAsia="zh-CN"/>
              </w:rPr>
              <w:t>住宿+用餐+会议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第二种：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4C4C4C"/>
                <w:spacing w:val="0"/>
                <w:sz w:val="21"/>
                <w:szCs w:val="21"/>
                <w:lang w:val="en-US" w:eastAsia="zh-CN"/>
              </w:rPr>
              <w:t>住宿+用餐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第三种：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4C4C4C"/>
                <w:spacing w:val="0"/>
                <w:sz w:val="21"/>
                <w:szCs w:val="21"/>
                <w:lang w:val="en-US" w:eastAsia="zh-CN"/>
              </w:rPr>
              <w:t>住宿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说明：住宿（包含早餐）最高限价200元/间/天，用餐（包含午餐和晚餐）最高限价90元/人/天，会议最高限价2000元/间/天。是否优于服务标准填写：等于、优于或低于，优于服务标准请在备注栏填写优于内容。增值服务：在培训期间免费提供2间会务标间，内容填是或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一周七天用餐食谱清单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第一天午餐清单：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第一天晚餐清单：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第二天午餐清单：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第二天晚餐清单：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第三天午餐清单：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第三天晚餐清单：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第四天午餐清单：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第四天晚餐清单：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第五天午餐清单：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第五天晚餐清单：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第六天午餐清单：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第六天晚餐清单：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第七天午餐清单：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第七天晚餐清单：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一周七天早餐食谱清单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（住宿包含）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第一天早餐清单：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第二天早餐清单：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第三天早餐清单：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第四天早餐清单：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第五天早餐清单：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第六天早餐清单：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第七天早餐清单：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E37970"/>
    <w:multiLevelType w:val="singleLevel"/>
    <w:tmpl w:val="99E379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A65ED"/>
    <w:rsid w:val="4AF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2025-02-15T01:58:00Z</dcterms:created>
  <dc:creator>hp</dc:creator>
  <cp:lastModifiedBy>hp</cp:lastModifiedBy>
  <dcterms:modified xsi:type="dcterms:W3CDTF">2025-02-15T01:59:22Z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